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4542" w14:textId="0FB7CD4F" w:rsidR="00F903F3" w:rsidRPr="002B3E9E" w:rsidRDefault="00713D90" w:rsidP="001A2826">
      <w:pPr>
        <w:pStyle w:val="Body1"/>
        <w:spacing w:after="0" w:line="240" w:lineRule="auto"/>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1A2826">
      <w:pPr>
        <w:pStyle w:val="Body1"/>
        <w:spacing w:after="0" w:line="240" w:lineRule="auto"/>
        <w:jc w:val="center"/>
        <w:rPr>
          <w:rFonts w:ascii="Times New Roman" w:hAnsi="Times New Roman"/>
          <w:b/>
          <w:bCs/>
          <w:sz w:val="20"/>
          <w:szCs w:val="20"/>
          <w:lang w:val="en-US"/>
        </w:rPr>
      </w:pPr>
    </w:p>
    <w:p w14:paraId="26B966C8" w14:textId="77777777" w:rsidR="00E56208" w:rsidRPr="00810EBA" w:rsidRDefault="00713D90"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1163ABB" w14:textId="77777777" w:rsidR="00E56208" w:rsidRPr="00810EBA" w:rsidRDefault="00E56208" w:rsidP="001A2826">
      <w:pPr>
        <w:pStyle w:val="Body1"/>
        <w:spacing w:after="0" w:line="240" w:lineRule="auto"/>
        <w:rPr>
          <w:rFonts w:ascii="Times New Roman" w:hAnsi="Times New Roman"/>
          <w:b/>
          <w:bCs/>
          <w:sz w:val="20"/>
          <w:szCs w:val="20"/>
          <w:lang w:val="en-US"/>
        </w:rPr>
      </w:pPr>
    </w:p>
    <w:p w14:paraId="3CD7EE7A" w14:textId="77777777" w:rsidR="00E56208" w:rsidRPr="00810EBA" w:rsidRDefault="00713D90"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THESE MATERIALS ARE NOT DIRECTED AT OR INTENDED TO BE ACCESSED BY PERSONS LOCATED OUTSIDE INDIA.</w:t>
      </w:r>
    </w:p>
    <w:p w14:paraId="42E4904B" w14:textId="77777777" w:rsidR="00E56208" w:rsidRPr="002B3E9E" w:rsidRDefault="00E56208" w:rsidP="001A2826">
      <w:pPr>
        <w:pStyle w:val="Body1"/>
        <w:spacing w:after="0" w:line="240" w:lineRule="auto"/>
        <w:rPr>
          <w:rFonts w:ascii="Times New Roman" w:hAnsi="Times New Roman"/>
          <w:sz w:val="20"/>
          <w:szCs w:val="20"/>
          <w:lang w:val="en-US"/>
        </w:rPr>
      </w:pPr>
    </w:p>
    <w:p w14:paraId="385BDB8C" w14:textId="77777777" w:rsidR="00E56208" w:rsidRPr="002B3E9E" w:rsidRDefault="00713D90" w:rsidP="001A2826">
      <w:pPr>
        <w:pStyle w:val="Body1"/>
        <w:spacing w:after="0" w:line="240" w:lineRule="auto"/>
        <w:rPr>
          <w:rFonts w:ascii="Times New Roman" w:hAnsi="Times New Roman"/>
          <w:sz w:val="20"/>
          <w:szCs w:val="20"/>
          <w:lang w:val="en-US"/>
        </w:rPr>
      </w:pPr>
      <w:r w:rsidRPr="00810EBA">
        <w:rPr>
          <w:rFonts w:ascii="Times New Roman" w:hAnsi="Times New Roman"/>
          <w:b/>
          <w:bCs/>
          <w:sz w:val="20"/>
          <w:szCs w:val="20"/>
          <w:lang w:val="en-US"/>
        </w:rPr>
        <w:t>IMPORTANT:</w:t>
      </w:r>
      <w:r w:rsidRPr="002B3E9E">
        <w:rPr>
          <w:rFonts w:ascii="Times New Roman" w:hAnsi="Times New Roman"/>
          <w:sz w:val="20"/>
          <w:szCs w:val="20"/>
          <w:lang w:val="en-US"/>
        </w:rPr>
        <w:t xml:space="preserve"> You must read and agree </w:t>
      </w:r>
      <w:proofErr w:type="gramStart"/>
      <w:r w:rsidRPr="002B3E9E">
        <w:rPr>
          <w:rFonts w:ascii="Times New Roman" w:hAnsi="Times New Roman"/>
          <w:sz w:val="20"/>
          <w:szCs w:val="20"/>
          <w:lang w:val="en-US"/>
        </w:rPr>
        <w:t>with</w:t>
      </w:r>
      <w:proofErr w:type="gramEnd"/>
      <w:r w:rsidRPr="002B3E9E">
        <w:rPr>
          <w:rFonts w:ascii="Times New Roman" w:hAnsi="Times New Roman"/>
          <w:sz w:val="20"/>
          <w:szCs w:val="20"/>
          <w:lang w:val="en-US"/>
        </w:rPr>
        <w:t xml:space="preserve"> the terms and conditions of the following disclaimer before continuing.</w:t>
      </w:r>
    </w:p>
    <w:p w14:paraId="6FD4B16C" w14:textId="77777777" w:rsidR="00E56208" w:rsidRPr="002B3E9E" w:rsidRDefault="00E56208" w:rsidP="001A2826">
      <w:pPr>
        <w:pStyle w:val="Body1"/>
        <w:spacing w:after="0" w:line="240" w:lineRule="auto"/>
        <w:rPr>
          <w:rFonts w:ascii="Times New Roman" w:hAnsi="Times New Roman"/>
          <w:sz w:val="20"/>
          <w:szCs w:val="20"/>
          <w:lang w:val="en-US"/>
        </w:rPr>
      </w:pPr>
    </w:p>
    <w:p w14:paraId="67341C4F" w14:textId="7774A2D6" w:rsidR="001A2826"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w:t>
      </w:r>
      <w:proofErr w:type="gramStart"/>
      <w:r w:rsidRPr="00092533">
        <w:rPr>
          <w:rFonts w:ascii="Times New Roman" w:hAnsi="Times New Roman"/>
          <w:sz w:val="20"/>
          <w:szCs w:val="20"/>
          <w:lang w:val="en-US"/>
        </w:rPr>
        <w:t>audio visual</w:t>
      </w:r>
      <w:proofErr w:type="gramEnd"/>
      <w:r w:rsidRPr="00092533">
        <w:rPr>
          <w:rFonts w:ascii="Times New Roman" w:hAnsi="Times New Roman"/>
          <w:sz w:val="20"/>
          <w:szCs w:val="20"/>
          <w:lang w:val="en-US"/>
        </w:rPr>
        <w:t xml:space="preserve"> film of </w:t>
      </w:r>
      <w:r>
        <w:rPr>
          <w:rFonts w:ascii="Times New Roman" w:hAnsi="Times New Roman"/>
          <w:sz w:val="20"/>
          <w:szCs w:val="20"/>
          <w:lang w:val="en-US"/>
        </w:rPr>
        <w:t xml:space="preserve">Aye Finance </w:t>
      </w:r>
      <w:r w:rsidR="005B636B">
        <w:rPr>
          <w:rFonts w:ascii="Times New Roman" w:hAnsi="Times New Roman"/>
          <w:sz w:val="20"/>
          <w:szCs w:val="20"/>
          <w:lang w:val="en-US"/>
        </w:rPr>
        <w:t>Limited (</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sidR="005867F1">
        <w:rPr>
          <w:rFonts w:ascii="Times New Roman" w:hAnsi="Times New Roman"/>
          <w:sz w:val="20"/>
          <w:szCs w:val="20"/>
          <w:lang w:val="en-US"/>
        </w:rPr>
        <w:t xml:space="preserve">December </w:t>
      </w:r>
      <w:r w:rsidR="00331FCF">
        <w:rPr>
          <w:rFonts w:ascii="Times New Roman" w:hAnsi="Times New Roman"/>
          <w:sz w:val="20"/>
          <w:szCs w:val="20"/>
          <w:lang w:val="en-US"/>
        </w:rPr>
        <w:t>16</w:t>
      </w:r>
      <w:r w:rsidRPr="00092533">
        <w:rPr>
          <w:rFonts w:ascii="Times New Roman" w:hAnsi="Times New Roman"/>
          <w:sz w:val="20"/>
          <w:szCs w:val="20"/>
          <w:lang w:val="en-US"/>
        </w:rPr>
        <w:t>, 2024 (the “</w:t>
      </w:r>
      <w:r w:rsidRPr="00092533">
        <w:rPr>
          <w:rFonts w:ascii="Times New Roman" w:hAnsi="Times New Roman"/>
          <w:b/>
          <w:bCs/>
          <w:sz w:val="20"/>
          <w:szCs w:val="20"/>
          <w:lang w:val="en-US"/>
        </w:rPr>
        <w:t>IPO AV</w:t>
      </w:r>
      <w:r w:rsidRPr="00092533">
        <w:rPr>
          <w:rFonts w:ascii="Times New Roman" w:hAnsi="Times New Roman"/>
          <w:sz w:val="20"/>
          <w:szCs w:val="20"/>
          <w:lang w:val="en-US"/>
        </w:rPr>
        <w:t>”), in relation to the initial public offering of the equity shares of face value of ₹</w:t>
      </w:r>
      <w:r>
        <w:rPr>
          <w:rFonts w:ascii="Times New Roman" w:hAnsi="Times New Roman"/>
          <w:sz w:val="20"/>
          <w:szCs w:val="20"/>
          <w:lang w:val="en-US"/>
        </w:rPr>
        <w:t xml:space="preserve"> 2</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Pr>
          <w:rFonts w:ascii="Times New Roman" w:hAnsi="Times New Roman"/>
          <w:b/>
          <w:bCs/>
          <w:sz w:val="20"/>
          <w:szCs w:val="20"/>
          <w:lang w:val="en-US"/>
        </w:rPr>
        <w:t>Offer</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is proposing, subject to receipt of requisite approvals, market conditions and other considerations, to make an initial public offering of its Equity Shares and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draft red herring prospectus dated </w:t>
      </w:r>
      <w:r w:rsidR="005867F1">
        <w:rPr>
          <w:rFonts w:ascii="Times New Roman" w:hAnsi="Times New Roman"/>
          <w:sz w:val="20"/>
          <w:szCs w:val="20"/>
          <w:lang w:val="en-US"/>
        </w:rPr>
        <w:t>December 1</w:t>
      </w:r>
      <w:r>
        <w:rPr>
          <w:rFonts w:ascii="Times New Roman" w:hAnsi="Times New Roman"/>
          <w:sz w:val="20"/>
          <w:szCs w:val="20"/>
          <w:lang w:val="en-US"/>
        </w:rPr>
        <w:t>6</w:t>
      </w:r>
      <w:r w:rsidR="005B636B" w:rsidRPr="005B636B">
        <w:rPr>
          <w:rFonts w:ascii="Times New Roman" w:hAnsi="Times New Roman"/>
          <w:sz w:val="20"/>
          <w:szCs w:val="20"/>
          <w:lang w:val="en-US"/>
        </w:rPr>
        <w:t>, 2024 (“</w:t>
      </w:r>
      <w:r w:rsidR="005B636B" w:rsidRPr="005B636B">
        <w:rPr>
          <w:rFonts w:ascii="Times New Roman" w:hAnsi="Times New Roman"/>
          <w:b/>
          <w:bCs/>
          <w:sz w:val="20"/>
          <w:szCs w:val="20"/>
          <w:lang w:val="en-US"/>
        </w:rPr>
        <w:t>DRHP</w:t>
      </w:r>
      <w:r w:rsidR="005B636B" w:rsidRPr="005B636B">
        <w:rPr>
          <w:rFonts w:ascii="Times New Roman" w:hAnsi="Times New Roman"/>
          <w:sz w:val="20"/>
          <w:szCs w:val="20"/>
          <w:lang w:val="en-US"/>
        </w:rPr>
        <w:t>”) with the 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the BSE Limited and the National Stock Exchange of India Limited (“</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The DRHP is available on the website of SEBI at www.sebi.gov.in, as well as on the websites of the Stock </w:t>
      </w:r>
      <w:r w:rsidR="005B636B" w:rsidRPr="001A2826">
        <w:rPr>
          <w:rFonts w:ascii="Times New Roman" w:hAnsi="Times New Roman"/>
          <w:sz w:val="20"/>
          <w:szCs w:val="20"/>
          <w:lang w:val="en-US"/>
        </w:rPr>
        <w:t xml:space="preserve">Exchanges i.e. BSE and NSE at www.bseindia.com and www.nseindia.com, respectively, on the website of the Company at </w:t>
      </w:r>
      <w:r w:rsidR="005867F1">
        <w:rPr>
          <w:rFonts w:ascii="Times New Roman" w:hAnsi="Times New Roman"/>
          <w:sz w:val="20"/>
          <w:szCs w:val="20"/>
        </w:rPr>
        <w:t>www.bluestone.com</w:t>
      </w:r>
      <w:r>
        <w:rPr>
          <w:rFonts w:ascii="Times New Roman" w:hAnsi="Times New Roman"/>
          <w:sz w:val="20"/>
          <w:szCs w:val="20"/>
        </w:rPr>
        <w:t xml:space="preserve">; </w:t>
      </w:r>
      <w:r w:rsidRPr="00713D90">
        <w:rPr>
          <w:rFonts w:ascii="Times New Roman" w:hAnsi="Times New Roman"/>
          <w:sz w:val="20"/>
          <w:szCs w:val="20"/>
        </w:rPr>
        <w:t xml:space="preserve">and on the website of the BRLMs, i.e. </w:t>
      </w:r>
      <w:r w:rsidR="005867F1" w:rsidRPr="00713D90">
        <w:rPr>
          <w:rFonts w:ascii="Times New Roman" w:hAnsi="Times New Roman"/>
          <w:sz w:val="20"/>
          <w:szCs w:val="20"/>
        </w:rPr>
        <w:t xml:space="preserve">Axis Capital Limited at www.axiscapital.co.in, IIFL Capital Services Limited (formerly known as IIFL Securities Limited) at </w:t>
      </w:r>
      <w:r w:rsidRPr="00713D90">
        <w:rPr>
          <w:rFonts w:ascii="Times New Roman" w:hAnsi="Times New Roman"/>
          <w:sz w:val="20"/>
          <w:szCs w:val="20"/>
        </w:rPr>
        <w:t xml:space="preserve">www.iiflcap.com, JM Financial Limited at </w:t>
      </w:r>
      <w:r w:rsidRPr="00713D90">
        <w:rPr>
          <w:rFonts w:ascii="Times New Roman" w:hAnsi="Times New Roman"/>
          <w:bCs/>
          <w:noProof/>
          <w:sz w:val="20"/>
          <w:szCs w:val="20"/>
          <w:lang w:eastAsia="en-AU"/>
        </w:rPr>
        <w:t>www.jmfl.com</w:t>
      </w:r>
      <w:r w:rsidRPr="00713D90">
        <w:rPr>
          <w:rFonts w:ascii="Times New Roman" w:hAnsi="Times New Roman"/>
          <w:sz w:val="20"/>
          <w:szCs w:val="20"/>
        </w:rPr>
        <w:t xml:space="preserve"> and Nuvama Wealth Management Limited at </w:t>
      </w:r>
      <w:r w:rsidRPr="00713D90">
        <w:rPr>
          <w:rFonts w:ascii="Times New Roman" w:hAnsi="Times New Roman"/>
          <w:bCs/>
          <w:iCs/>
          <w:noProof/>
          <w:sz w:val="20"/>
          <w:szCs w:val="20"/>
          <w:lang w:val="en-IN" w:eastAsia="en-AU"/>
        </w:rPr>
        <w:t>www.nuvama.com</w:t>
      </w:r>
      <w:r w:rsidRPr="00713D90">
        <w:rPr>
          <w:rFonts w:ascii="Times New Roman" w:hAnsi="Times New Roman"/>
          <w:sz w:val="20"/>
          <w:szCs w:val="20"/>
          <w:lang w:val="en-IN"/>
        </w:rPr>
        <w:t>.</w:t>
      </w:r>
      <w:r>
        <w:rPr>
          <w:rFonts w:ascii="Times New Roman" w:hAnsi="Times New Roman"/>
          <w:sz w:val="20"/>
          <w:szCs w:val="20"/>
          <w:lang w:val="en-IN"/>
        </w:rPr>
        <w:t xml:space="preserve"> </w:t>
      </w:r>
    </w:p>
    <w:p w14:paraId="04928BFF" w14:textId="77777777" w:rsidR="001A2826" w:rsidRDefault="001A2826" w:rsidP="001A2826">
      <w:pPr>
        <w:pStyle w:val="Body1"/>
        <w:spacing w:after="0" w:line="240" w:lineRule="auto"/>
        <w:rPr>
          <w:rFonts w:ascii="Times New Roman" w:hAnsi="Times New Roman"/>
          <w:sz w:val="20"/>
          <w:szCs w:val="20"/>
          <w:lang w:val="en-US"/>
        </w:rPr>
      </w:pPr>
    </w:p>
    <w:p w14:paraId="2D9E3754" w14:textId="3BC52DCE" w:rsidR="00E56208" w:rsidRPr="002B3E9E" w:rsidRDefault="00713D90" w:rsidP="001A2826">
      <w:pPr>
        <w:pStyle w:val="Body1"/>
        <w:spacing w:after="0" w:line="240" w:lineRule="auto"/>
        <w:rPr>
          <w:rFonts w:ascii="Times New Roman" w:hAnsi="Times New Roman"/>
          <w:sz w:val="20"/>
          <w:szCs w:val="20"/>
          <w:lang w:val="en-US"/>
        </w:rPr>
      </w:pPr>
      <w:r w:rsidRPr="00810EBA">
        <w:rPr>
          <w:rFonts w:ascii="Times New Roman" w:hAnsi="Times New Roman"/>
          <w:b/>
          <w:bCs/>
          <w:sz w:val="20"/>
          <w:szCs w:val="20"/>
          <w:lang w:val="en-US"/>
        </w:rPr>
        <w:t>THE IPO AV IS BEING MADE AVAILABLE ON THIS WEBSITE IN ACCORDANCE WITH</w:t>
      </w:r>
      <w:r w:rsidR="00810EBA">
        <w:rPr>
          <w:rFonts w:ascii="Times New Roman" w:hAnsi="Times New Roman"/>
          <w:b/>
          <w:bCs/>
          <w:sz w:val="20"/>
          <w:szCs w:val="20"/>
          <w:lang w:val="en-US"/>
        </w:rPr>
        <w:t xml:space="preserve"> THE MASTER CIRCULAR ON "ISSUE OF CAPITAL AND DISCLOSURE REQUIREMENTS" DATED NOVEMBER 11, 2024</w:t>
      </w:r>
      <w:r w:rsidRPr="00810EBA">
        <w:rPr>
          <w:rFonts w:ascii="Times New Roman" w:hAnsi="Times New Roman"/>
          <w:b/>
          <w:bCs/>
          <w:sz w:val="20"/>
          <w:szCs w:val="20"/>
          <w:lang w:val="en-US"/>
        </w:rPr>
        <w:t>, ISSUED BY THE SECURITIES AND EXCHANGE BOARD OF INDIA.</w:t>
      </w:r>
      <w:r w:rsidRPr="002B3E9E">
        <w:rPr>
          <w:rFonts w:ascii="Times New Roman" w:hAnsi="Times New Roman"/>
          <w:sz w:val="20"/>
          <w:szCs w:val="20"/>
          <w:lang w:val="en-US"/>
        </w:rPr>
        <w:t xml:space="preserve"> You are advised to read this disclaimer carefully before reading, accessing or making any other use of the IPO AV. In accessing the IPO AV, you agree to be bound by the following terms and conditions, including any modifications to them from time to time. </w:t>
      </w:r>
      <w:r w:rsidR="00111122">
        <w:rPr>
          <w:rFonts w:ascii="Times New Roman" w:hAnsi="Times New Roman"/>
          <w:sz w:val="20"/>
          <w:szCs w:val="20"/>
          <w:lang w:val="en-US"/>
        </w:rPr>
        <w:t xml:space="preserve">The </w:t>
      </w:r>
      <w:r w:rsidRPr="002B3E9E">
        <w:rPr>
          <w:rFonts w:ascii="Times New Roman" w:hAnsi="Times New Roman"/>
          <w:sz w:val="20"/>
          <w:szCs w:val="20"/>
          <w:lang w:val="en-US"/>
        </w:rPr>
        <w:t>IPO AV is directed at, and is intended for distribution to, and use by, residents of India only. The information in th</w:t>
      </w:r>
      <w:r w:rsidR="00111122">
        <w:rPr>
          <w:rFonts w:ascii="Times New Roman" w:hAnsi="Times New Roman"/>
          <w:sz w:val="20"/>
          <w:szCs w:val="20"/>
          <w:lang w:val="en-US"/>
        </w:rPr>
        <w:t>e</w:t>
      </w:r>
      <w:r w:rsidRPr="002B3E9E">
        <w:rPr>
          <w:rFonts w:ascii="Times New Roman" w:hAnsi="Times New Roman"/>
          <w:sz w:val="20"/>
          <w:szCs w:val="20"/>
          <w:lang w:val="en-US"/>
        </w:rPr>
        <w:t xml:space="preserve">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9A5A44">
        <w:rPr>
          <w:rFonts w:ascii="Times New Roman" w:hAnsi="Times New Roman"/>
          <w:b/>
          <w:bCs/>
          <w:sz w:val="20"/>
          <w:szCs w:val="20"/>
          <w:lang w:val="en-US"/>
        </w:rPr>
        <w:t>United States</w:t>
      </w:r>
      <w:r w:rsidRPr="002B3E9E">
        <w:rPr>
          <w:rFonts w:ascii="Times New Roman" w:hAnsi="Times New Roman"/>
          <w:sz w:val="20"/>
          <w:szCs w:val="20"/>
          <w:lang w:val="en-US"/>
        </w:rPr>
        <w:t>”) or any other jurisdiction where it is unlawful to do so. All persons residing outside of the United States who wish to access the IPO AV contained on the following page of this website</w:t>
      </w:r>
      <w:r w:rsidR="00D873CA">
        <w:rPr>
          <w:rFonts w:ascii="Times New Roman" w:hAnsi="Times New Roman"/>
          <w:sz w:val="20"/>
          <w:szCs w:val="20"/>
          <w:lang w:val="en-US"/>
        </w:rPr>
        <w:t>,</w:t>
      </w:r>
      <w:r w:rsidRPr="002B3E9E">
        <w:rPr>
          <w:rFonts w:ascii="Times New Roman" w:hAnsi="Times New Roman"/>
          <w:sz w:val="20"/>
          <w:szCs w:val="20"/>
          <w:lang w:val="en-US"/>
        </w:rPr>
        <w:t xml:space="preserve"> should first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29BD6AFB" w14:textId="77777777" w:rsidR="00E56208" w:rsidRPr="002B3E9E" w:rsidRDefault="00E56208" w:rsidP="001A2826">
      <w:pPr>
        <w:pStyle w:val="Body1"/>
        <w:spacing w:after="0" w:line="240" w:lineRule="auto"/>
        <w:rPr>
          <w:rFonts w:ascii="Times New Roman" w:hAnsi="Times New Roman"/>
          <w:sz w:val="20"/>
          <w:szCs w:val="20"/>
          <w:lang w:val="en-US"/>
        </w:rPr>
      </w:pPr>
    </w:p>
    <w:p w14:paraId="5E9293AA" w14:textId="320FCF1F" w:rsidR="00E56208" w:rsidRPr="00713D90" w:rsidRDefault="00713D90" w:rsidP="00713D90">
      <w:pPr>
        <w:tabs>
          <w:tab w:val="right" w:leader="dot" w:pos="9360"/>
        </w:tabs>
        <w:suppressAutoHyphens/>
        <w:spacing w:after="200"/>
        <w:jc w:val="both"/>
        <w:rPr>
          <w:bCs/>
          <w:sz w:val="20"/>
          <w:szCs w:val="20"/>
        </w:rPr>
      </w:pPr>
      <w:r w:rsidRPr="002B3E9E">
        <w:rPr>
          <w:sz w:val="20"/>
          <w:szCs w:val="20"/>
        </w:rPr>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sz w:val="20"/>
          <w:szCs w:val="20"/>
        </w:rPr>
        <w:t xml:space="preserve"> </w:t>
      </w:r>
      <w:r w:rsidRPr="00C86DD7">
        <w:rPr>
          <w:bCs/>
          <w:sz w:val="20"/>
          <w:szCs w:val="20"/>
        </w:rPr>
        <w:t>The Equity Shares have not been and will not be registered under the United States Securities Act of 1933, as amended (the “</w:t>
      </w:r>
      <w:r w:rsidRPr="00EF5418">
        <w:rPr>
          <w:b/>
          <w:sz w:val="20"/>
          <w:szCs w:val="20"/>
        </w:rPr>
        <w:t>U.S. Securities Act</w:t>
      </w:r>
      <w:r w:rsidRPr="00C86DD7">
        <w:rPr>
          <w:bCs/>
          <w:sz w:val="20"/>
          <w:szCs w:val="20"/>
        </w:rPr>
        <w:t>”) or any other applicable law of the United States and, unless so registered, may not be offered or sold within the United States except pursuant to an exemption from, or in a transaction not subject to, the registration requirements of the U.S. Securities Act and applicable state securities laws. Accordingly, the Equity Shares are being offered and (a) only to persons reasonably believed to be “qualified institutional buyers” (as defined in Rule 144A under the U.S. Securities Act and referred to in this Draft Red Herring Prospectus as “</w:t>
      </w:r>
      <w:r w:rsidRPr="00EF5418">
        <w:rPr>
          <w:b/>
          <w:sz w:val="20"/>
          <w:szCs w:val="20"/>
        </w:rPr>
        <w:t>U.S. QIBs</w:t>
      </w:r>
      <w:r w:rsidRPr="00C86DD7">
        <w:rPr>
          <w:bCs/>
          <w:sz w:val="20"/>
          <w:szCs w:val="20"/>
        </w:rPr>
        <w:t>”) in transactions exempt from the registration requirements of the U.S. Securities Act, (b) QPs, as defined in Section 2(a)(51) of the U.S. Investment Company Act (persons who are both a U.S. QIB and a QP are referred to as “</w:t>
      </w:r>
      <w:r w:rsidRPr="00EF5418">
        <w:rPr>
          <w:b/>
          <w:sz w:val="20"/>
          <w:szCs w:val="20"/>
        </w:rPr>
        <w:t>Entitled QPs</w:t>
      </w:r>
      <w:r w:rsidRPr="00C86DD7">
        <w:rPr>
          <w:bCs/>
          <w:sz w:val="20"/>
          <w:szCs w:val="20"/>
        </w:rPr>
        <w:t xml:space="preserve">”), and (c) outside the United States in </w:t>
      </w:r>
      <w:r>
        <w:rPr>
          <w:bCs/>
          <w:sz w:val="20"/>
          <w:szCs w:val="20"/>
        </w:rPr>
        <w:t>“</w:t>
      </w:r>
      <w:r w:rsidRPr="00C86DD7">
        <w:rPr>
          <w:bCs/>
          <w:sz w:val="20"/>
          <w:szCs w:val="20"/>
        </w:rPr>
        <w:t>offshore transactions</w:t>
      </w:r>
      <w:r>
        <w:rPr>
          <w:bCs/>
          <w:sz w:val="20"/>
          <w:szCs w:val="20"/>
        </w:rPr>
        <w:t>”</w:t>
      </w:r>
      <w:r w:rsidRPr="00C86DD7">
        <w:rPr>
          <w:bCs/>
          <w:sz w:val="20"/>
          <w:szCs w:val="20"/>
        </w:rPr>
        <w:t xml:space="preserve"> </w:t>
      </w:r>
      <w:r>
        <w:rPr>
          <w:bCs/>
          <w:sz w:val="20"/>
          <w:szCs w:val="20"/>
        </w:rPr>
        <w:t xml:space="preserve">as defined in and in reliance on </w:t>
      </w:r>
      <w:r w:rsidRPr="00C86DD7">
        <w:rPr>
          <w:bCs/>
          <w:sz w:val="20"/>
          <w:szCs w:val="20"/>
        </w:rPr>
        <w:t>Regulation S and the applicable laws of the jurisdiction where those offers and sales are made. For the avoidance of doubt, the term “U.S. QIBs” does not refer to a category of institutional investors defined under applicable Indian regulations and referred to in th</w:t>
      </w:r>
      <w:r>
        <w:rPr>
          <w:bCs/>
          <w:sz w:val="20"/>
          <w:szCs w:val="20"/>
        </w:rPr>
        <w:t>e</w:t>
      </w:r>
      <w:r w:rsidRPr="00C86DD7">
        <w:rPr>
          <w:bCs/>
          <w:sz w:val="20"/>
          <w:szCs w:val="20"/>
        </w:rPr>
        <w:t xml:space="preserve"> </w:t>
      </w:r>
      <w:r>
        <w:rPr>
          <w:bCs/>
          <w:sz w:val="20"/>
          <w:szCs w:val="20"/>
        </w:rPr>
        <w:t>DRHP</w:t>
      </w:r>
      <w:r w:rsidRPr="00C86DD7">
        <w:rPr>
          <w:bCs/>
          <w:sz w:val="20"/>
          <w:szCs w:val="20"/>
        </w:rPr>
        <w:t xml:space="preserve"> as “QIBs”.</w:t>
      </w:r>
      <w:r>
        <w:rPr>
          <w:bCs/>
          <w:sz w:val="20"/>
          <w:szCs w:val="20"/>
        </w:rPr>
        <w:t xml:space="preserve"> </w:t>
      </w:r>
      <w:r w:rsidRPr="002B3E9E">
        <w:rPr>
          <w:sz w:val="20"/>
          <w:szCs w:val="20"/>
        </w:rPr>
        <w:t>No public offering of the Equity Shares or other securities is being made in the United States.</w:t>
      </w:r>
    </w:p>
    <w:p w14:paraId="570F91EA" w14:textId="134E8E46"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IPO AV does not constitute, and should not be construed as, “general solicitation” or “general advertising” as defined under Regulation D of the U.S. Securities Act, or “directed selling efforts” under Regulation S</w:t>
      </w:r>
      <w:r w:rsidR="00D873CA">
        <w:rPr>
          <w:rFonts w:ascii="Times New Roman" w:hAnsi="Times New Roman"/>
          <w:sz w:val="20"/>
          <w:szCs w:val="20"/>
          <w:lang w:val="en-US"/>
        </w:rPr>
        <w:t xml:space="preserve"> </w:t>
      </w:r>
      <w:r w:rsidR="00D873CA" w:rsidRPr="000711A3">
        <w:rPr>
          <w:rFonts w:ascii="Times New Roman" w:hAnsi="Times New Roman"/>
          <w:sz w:val="20"/>
          <w:szCs w:val="20"/>
          <w:lang w:eastAsia="en-IN"/>
        </w:rPr>
        <w:t>of the U.S. Securities Act</w:t>
      </w:r>
      <w:r w:rsidRPr="002B3E9E">
        <w:rPr>
          <w:rFonts w:ascii="Times New Roman" w:hAnsi="Times New Roman"/>
          <w:sz w:val="20"/>
          <w:szCs w:val="20"/>
          <w:lang w:val="en-US"/>
        </w:rPr>
        <w:t>.</w:t>
      </w:r>
    </w:p>
    <w:p w14:paraId="0B5DB18D" w14:textId="77777777" w:rsidR="00E56208" w:rsidRPr="002B3E9E" w:rsidRDefault="00E56208" w:rsidP="001A2826">
      <w:pPr>
        <w:pStyle w:val="Body1"/>
        <w:spacing w:after="0" w:line="240" w:lineRule="auto"/>
        <w:rPr>
          <w:rFonts w:ascii="Times New Roman" w:hAnsi="Times New Roman"/>
          <w:sz w:val="20"/>
          <w:szCs w:val="20"/>
          <w:lang w:val="en-US"/>
        </w:rPr>
      </w:pPr>
    </w:p>
    <w:p w14:paraId="23AADBC1" w14:textId="07F73C1C" w:rsidR="00E56208"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lastRenderedPageBreak/>
        <w:t xml:space="preserve">The Company, and </w:t>
      </w:r>
      <w:r w:rsidRPr="000711A3">
        <w:rPr>
          <w:rFonts w:ascii="Times New Roman" w:hAnsi="Times New Roman"/>
          <w:sz w:val="20"/>
          <w:szCs w:val="20"/>
        </w:rPr>
        <w:t>Axis Capital Limited, IIFL Capital Services Limited (formerly known as IIFL Securities Limited)</w:t>
      </w:r>
      <w:r>
        <w:rPr>
          <w:rFonts w:ascii="Times New Roman" w:hAnsi="Times New Roman"/>
          <w:sz w:val="20"/>
          <w:szCs w:val="20"/>
        </w:rPr>
        <w:t xml:space="preserve">, JM Financial Limited and Nuvama Wealth Management Limited </w:t>
      </w:r>
      <w:r w:rsidRPr="002B3E9E">
        <w:rPr>
          <w:rFonts w:ascii="Times New Roman" w:hAnsi="Times New Roman"/>
          <w:sz w:val="20"/>
          <w:szCs w:val="20"/>
          <w:lang w:val="en-US"/>
        </w:rPr>
        <w:t>(collectively, the “</w:t>
      </w:r>
      <w:r w:rsidRPr="009A5A44">
        <w:rPr>
          <w:rFonts w:ascii="Times New Roman" w:hAnsi="Times New Roman"/>
          <w:b/>
          <w:bCs/>
          <w:sz w:val="20"/>
          <w:szCs w:val="20"/>
          <w:lang w:val="en-US"/>
        </w:rPr>
        <w:t>Book Running Lead Managers</w:t>
      </w:r>
      <w:r w:rsidRPr="002B3E9E">
        <w:rPr>
          <w:rFonts w:ascii="Times New Roman" w:hAnsi="Times New Roman"/>
          <w:sz w:val="20"/>
          <w:szCs w:val="20"/>
          <w:lang w:val="en-US"/>
        </w:rPr>
        <w:t>”) and their respective affiliates, directors, officers, agents, representatives, advisers and employees do not accept any liability whatsoever, direct or indirect, that may arise from the use of the information contained on this website. The information in the IPO AV is as of the date thereof and neither the 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05F0DABE" w14:textId="77777777" w:rsidR="000D6101" w:rsidRDefault="000D6101" w:rsidP="001A2826">
      <w:pPr>
        <w:pStyle w:val="Body1"/>
        <w:spacing w:after="0" w:line="240" w:lineRule="auto"/>
        <w:rPr>
          <w:rFonts w:ascii="Times New Roman" w:hAnsi="Times New Roman"/>
          <w:sz w:val="20"/>
          <w:szCs w:val="20"/>
          <w:lang w:val="en-US"/>
        </w:rPr>
      </w:pPr>
    </w:p>
    <w:p w14:paraId="66B8C133" w14:textId="4FACAD9A" w:rsidR="000D6101" w:rsidRPr="002B3E9E" w:rsidRDefault="00713D90" w:rsidP="001A2826">
      <w:pPr>
        <w:pStyle w:val="Body1"/>
        <w:spacing w:after="0" w:line="240" w:lineRule="auto"/>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350F94">
        <w:rPr>
          <w:rFonts w:ascii="Times New Roman" w:hAnsi="Times New Roman"/>
          <w:sz w:val="20"/>
          <w:szCs w:val="20"/>
        </w:rPr>
        <w:t>I</w:t>
      </w:r>
      <w:r w:rsidRPr="00E3576D">
        <w:rPr>
          <w:rFonts w:ascii="Times New Roman" w:hAnsi="Times New Roman"/>
          <w:sz w:val="20"/>
          <w:szCs w:val="20"/>
        </w:rPr>
        <w:t>ssue on the internet/ online websites/ social media platforms/ micro-blogging platforms and by influencers/finfluencers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w:t>
      </w:r>
    </w:p>
    <w:p w14:paraId="30F6256D" w14:textId="77777777" w:rsidR="00E56208" w:rsidRPr="002B3E9E" w:rsidRDefault="00E56208" w:rsidP="001A2826">
      <w:pPr>
        <w:pStyle w:val="Body1"/>
        <w:spacing w:after="0" w:line="240" w:lineRule="auto"/>
        <w:rPr>
          <w:rFonts w:ascii="Times New Roman" w:hAnsi="Times New Roman"/>
          <w:sz w:val="20"/>
          <w:szCs w:val="20"/>
          <w:lang w:val="en-US"/>
        </w:rPr>
      </w:pPr>
    </w:p>
    <w:p w14:paraId="488DA0B3" w14:textId="47666B2A"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Any potential investor should note that investment in equity shares involves a high degree of risk and for details relating to such risks, see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 Potential investors should also refer to the Prospectus which will be filed with the</w:t>
      </w:r>
      <w:r w:rsidR="00112B29">
        <w:rPr>
          <w:rFonts w:ascii="Times New Roman" w:hAnsi="Times New Roman"/>
          <w:sz w:val="20"/>
          <w:szCs w:val="20"/>
          <w:lang w:val="en-US"/>
        </w:rPr>
        <w:t xml:space="preserve"> </w:t>
      </w:r>
      <w:r w:rsidR="00112B29" w:rsidRPr="00112B29">
        <w:rPr>
          <w:rFonts w:ascii="Times New Roman" w:hAnsi="Times New Roman"/>
          <w:sz w:val="20"/>
          <w:szCs w:val="20"/>
        </w:rPr>
        <w:t xml:space="preserve">Registrar of Companies, </w:t>
      </w:r>
      <w:r>
        <w:rPr>
          <w:rFonts w:ascii="Times New Roman" w:hAnsi="Times New Roman"/>
          <w:sz w:val="20"/>
          <w:szCs w:val="20"/>
        </w:rPr>
        <w:t>Delhi and Haryana at New Delhi</w:t>
      </w:r>
      <w:r w:rsidRPr="002B3E9E">
        <w:rPr>
          <w:rFonts w:ascii="Times New Roman" w:hAnsi="Times New Roman"/>
          <w:sz w:val="20"/>
          <w:szCs w:val="20"/>
          <w:lang w:val="en-US"/>
        </w:rPr>
        <w:t xml:space="preserve"> </w:t>
      </w:r>
      <w:r w:rsidR="00112B29">
        <w:rPr>
          <w:rFonts w:ascii="Times New Roman" w:hAnsi="Times New Roman"/>
          <w:sz w:val="20"/>
          <w:szCs w:val="20"/>
          <w:lang w:val="en-US"/>
        </w:rPr>
        <w:t>(“</w:t>
      </w:r>
      <w:proofErr w:type="spellStart"/>
      <w:r w:rsidRPr="001645D1">
        <w:rPr>
          <w:rFonts w:ascii="Times New Roman" w:hAnsi="Times New Roman"/>
          <w:b/>
          <w:bCs/>
          <w:sz w:val="20"/>
          <w:szCs w:val="20"/>
          <w:lang w:val="en-US"/>
        </w:rPr>
        <w:t>RoC</w:t>
      </w:r>
      <w:proofErr w:type="spellEnd"/>
      <w:r w:rsidR="00112B29">
        <w:rPr>
          <w:rFonts w:ascii="Times New Roman" w:hAnsi="Times New Roman"/>
          <w:sz w:val="20"/>
          <w:szCs w:val="20"/>
          <w:lang w:val="en-US"/>
        </w:rPr>
        <w:t>”)</w:t>
      </w:r>
      <w:r w:rsidRPr="002B3E9E">
        <w:rPr>
          <w:rFonts w:ascii="Times New Roman" w:hAnsi="Times New Roman"/>
          <w:sz w:val="20"/>
          <w:szCs w:val="20"/>
          <w:lang w:val="en-US"/>
        </w:rPr>
        <w:t xml:space="preserve"> and SEBI in the future, including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xml:space="preserve">”.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provides only the salient features of the </w:t>
      </w:r>
      <w:r w:rsidR="00FF0CEF">
        <w:rPr>
          <w:rFonts w:ascii="Times New Roman" w:hAnsi="Times New Roman"/>
          <w:sz w:val="20"/>
          <w:szCs w:val="20"/>
          <w:lang w:val="en-US"/>
        </w:rPr>
        <w:t>Issue</w:t>
      </w:r>
      <w:r w:rsidR="00FF0CEF" w:rsidRPr="002B3E9E">
        <w:rPr>
          <w:rFonts w:ascii="Times New Roman" w:hAnsi="Times New Roman"/>
          <w:sz w:val="20"/>
          <w:szCs w:val="20"/>
          <w:lang w:val="en-US"/>
        </w:rPr>
        <w:t xml:space="preserve"> </w:t>
      </w:r>
      <w:r w:rsidRPr="002B3E9E">
        <w:rPr>
          <w:rFonts w:ascii="Times New Roman" w:hAnsi="Times New Roman"/>
          <w:sz w:val="20"/>
          <w:szCs w:val="20"/>
          <w:lang w:val="en-US"/>
        </w:rPr>
        <w:t xml:space="preserve">and accordingly, potential investors should not rely on the IPO AV. Any decision on whether to invest in the equity shares must be made solely </w:t>
      </w:r>
      <w:proofErr w:type="gramStart"/>
      <w:r w:rsidRPr="002B3E9E">
        <w:rPr>
          <w:rFonts w:ascii="Times New Roman" w:hAnsi="Times New Roman"/>
          <w:sz w:val="20"/>
          <w:szCs w:val="20"/>
          <w:lang w:val="en-US"/>
        </w:rPr>
        <w:t>on the basis of</w:t>
      </w:r>
      <w:proofErr w:type="gramEnd"/>
      <w:r w:rsidRPr="002B3E9E">
        <w:rPr>
          <w:rFonts w:ascii="Times New Roman" w:hAnsi="Times New Roman"/>
          <w:sz w:val="20"/>
          <w:szCs w:val="20"/>
          <w:lang w:val="en-US"/>
        </w:rPr>
        <w:t xml:space="preserve">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w:t>
      </w:r>
    </w:p>
    <w:p w14:paraId="7C5ACB37" w14:textId="77777777" w:rsidR="00E56208" w:rsidRPr="002B3E9E" w:rsidRDefault="00E56208" w:rsidP="001A2826">
      <w:pPr>
        <w:pStyle w:val="Body1"/>
        <w:spacing w:after="0" w:line="240" w:lineRule="auto"/>
        <w:rPr>
          <w:rFonts w:ascii="Times New Roman" w:hAnsi="Times New Roman"/>
          <w:sz w:val="20"/>
          <w:szCs w:val="20"/>
          <w:lang w:val="en-US"/>
        </w:rPr>
      </w:pPr>
    </w:p>
    <w:p w14:paraId="37F43396" w14:textId="12555745"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w:t>
      </w:r>
      <w:proofErr w:type="gramStart"/>
      <w:r w:rsidRPr="002B3E9E">
        <w:rPr>
          <w:rFonts w:ascii="Times New Roman" w:hAnsi="Times New Roman"/>
          <w:sz w:val="20"/>
          <w:szCs w:val="20"/>
          <w:lang w:val="en-US"/>
        </w:rPr>
        <w:t>risk</w:t>
      </w:r>
      <w:proofErr w:type="gramEnd"/>
      <w:r w:rsidRPr="002B3E9E">
        <w:rPr>
          <w:rFonts w:ascii="Times New Roman" w:hAnsi="Times New Roman"/>
          <w:sz w:val="20"/>
          <w:szCs w:val="20"/>
          <w:lang w:val="en-US"/>
        </w:rPr>
        <w:t xml:space="preserve"> and it is your responsibility to take precautions to ensure that it is free from viruses. Neither the Company, </w:t>
      </w:r>
      <w:r w:rsidR="00DC2284">
        <w:rPr>
          <w:rFonts w:ascii="Times New Roman" w:hAnsi="Times New Roman"/>
          <w:sz w:val="20"/>
          <w:szCs w:val="20"/>
          <w:lang w:val="en-US"/>
        </w:rPr>
        <w:t xml:space="preserve">Promoter, </w:t>
      </w:r>
      <w:r w:rsidRPr="002B3E9E">
        <w:rPr>
          <w:rFonts w:ascii="Times New Roman" w:hAnsi="Times New Roman"/>
          <w:sz w:val="20"/>
          <w:szCs w:val="20"/>
          <w:lang w:val="en-US"/>
        </w:rPr>
        <w:t>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2E6BC77A" w14:textId="77777777" w:rsidR="00E56208" w:rsidRPr="002B3E9E" w:rsidRDefault="00E56208" w:rsidP="001A2826">
      <w:pPr>
        <w:pStyle w:val="Body1"/>
        <w:spacing w:after="0" w:line="240" w:lineRule="auto"/>
        <w:rPr>
          <w:rFonts w:ascii="Times New Roman" w:hAnsi="Times New Roman"/>
          <w:sz w:val="20"/>
          <w:szCs w:val="20"/>
          <w:lang w:val="en-US"/>
        </w:rPr>
      </w:pPr>
    </w:p>
    <w:p w14:paraId="0FF8E697" w14:textId="7161D5BD"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website does not constitute a part of the IPO AV.</w:t>
      </w:r>
    </w:p>
    <w:p w14:paraId="1C42A150" w14:textId="77777777" w:rsidR="00E56208" w:rsidRPr="002B3E9E" w:rsidRDefault="00E56208" w:rsidP="001A2826">
      <w:pPr>
        <w:pStyle w:val="Body1"/>
        <w:spacing w:after="0" w:line="240" w:lineRule="auto"/>
        <w:rPr>
          <w:rFonts w:ascii="Times New Roman" w:hAnsi="Times New Roman"/>
          <w:sz w:val="20"/>
          <w:szCs w:val="20"/>
          <w:lang w:val="en-US"/>
        </w:rPr>
      </w:pPr>
    </w:p>
    <w:p w14:paraId="43332C7D" w14:textId="77777777"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05BE65C3" w14:textId="77777777" w:rsidR="00E56208" w:rsidRPr="002B3E9E" w:rsidRDefault="00E56208" w:rsidP="001A2826">
      <w:pPr>
        <w:pStyle w:val="Body1"/>
        <w:spacing w:after="0" w:line="240" w:lineRule="auto"/>
        <w:rPr>
          <w:rFonts w:ascii="Times New Roman" w:hAnsi="Times New Roman"/>
          <w:sz w:val="20"/>
          <w:szCs w:val="20"/>
          <w:lang w:val="en-US"/>
        </w:rPr>
      </w:pPr>
    </w:p>
    <w:p w14:paraId="74528C74" w14:textId="77777777"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To access this information, you must confirm, by pressing on the button marked “I Confirm”, that at the time of access, you </w:t>
      </w:r>
      <w:proofErr w:type="gramStart"/>
      <w:r w:rsidRPr="002B3E9E">
        <w:rPr>
          <w:rFonts w:ascii="Times New Roman" w:hAnsi="Times New Roman"/>
          <w:sz w:val="20"/>
          <w:szCs w:val="20"/>
          <w:lang w:val="en-US"/>
        </w:rPr>
        <w:t>are located in</w:t>
      </w:r>
      <w:proofErr w:type="gramEnd"/>
      <w:r w:rsidRPr="002B3E9E">
        <w:rPr>
          <w:rFonts w:ascii="Times New Roman" w:hAnsi="Times New Roman"/>
          <w:sz w:val="20"/>
          <w:szCs w:val="20"/>
          <w:lang w:val="en-US"/>
        </w:rPr>
        <w:t xml:space="preserve"> India. If you cannot make this confirmation, you must press the button marked “I Do Not Confirm”.</w:t>
      </w:r>
    </w:p>
    <w:p w14:paraId="1DE33B33" w14:textId="77777777" w:rsidR="00E56208" w:rsidRPr="002B3E9E" w:rsidRDefault="00E56208" w:rsidP="001A2826">
      <w:pPr>
        <w:pStyle w:val="Body1"/>
        <w:spacing w:after="0" w:line="240" w:lineRule="auto"/>
        <w:rPr>
          <w:rFonts w:ascii="Times New Roman" w:hAnsi="Times New Roman"/>
          <w:sz w:val="20"/>
          <w:szCs w:val="20"/>
          <w:lang w:val="en-US"/>
        </w:rPr>
      </w:pPr>
    </w:p>
    <w:p w14:paraId="482F29C6" w14:textId="0A02664F" w:rsidR="00E56208" w:rsidRPr="002B3E9E" w:rsidRDefault="00713D90"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default" r:id="rId7"/>
      <w:footerReference w:type="default" r:id="rId8"/>
      <w:headerReference w:type="first" r:id="rId9"/>
      <w:footerReference w:type="first" r:id="rId1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9941D" w14:textId="77777777" w:rsidR="007A2F0D" w:rsidRDefault="007A2F0D">
      <w:r>
        <w:separator/>
      </w:r>
    </w:p>
  </w:endnote>
  <w:endnote w:type="continuationSeparator" w:id="0">
    <w:p w14:paraId="11DBC466" w14:textId="77777777" w:rsidR="007A2F0D" w:rsidRDefault="007A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7151" w14:textId="77777777" w:rsidR="00F903F3" w:rsidRDefault="00F903F3" w:rsidP="00325E49">
    <w:pPr>
      <w:pStyle w:val="Footer"/>
    </w:pPr>
  </w:p>
  <w:p w14:paraId="3C781AE6" w14:textId="77777777" w:rsidR="00F903F3" w:rsidRDefault="00000000" w:rsidP="00325E49">
    <w:pPr>
      <w:pStyle w:val="Footer"/>
    </w:pPr>
    <w:sdt>
      <w:sdtPr>
        <w:alias w:val="DocID"/>
        <w:tag w:val="DocID"/>
        <w:id w:val="1506560089"/>
        <w:text/>
      </w:sdtPr>
      <w:sdtContent>
        <w:r w:rsidR="000711A3">
          <w:t xml:space="preserve">     </w:t>
        </w:r>
      </w:sdtContent>
    </w:sdt>
    <w:r w:rsidR="000711A3">
      <w:tab/>
    </w:r>
    <w:r w:rsidR="000711A3">
      <w:tab/>
    </w:r>
    <w:sdt>
      <w:sdtPr>
        <w:alias w:val="Firm name"/>
        <w:tag w:val="FirmName"/>
        <w:id w:val="-448084639"/>
        <w:showingPlcHdr/>
        <w:text/>
      </w:sdtPr>
      <w:sdtContent/>
    </w:sdt>
  </w:p>
  <w:p w14:paraId="66ACC7BD"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85D5" w14:textId="77777777" w:rsidR="00F903F3" w:rsidRDefault="00F903F3" w:rsidP="00C46C82">
    <w:pPr>
      <w:pStyle w:val="Footer"/>
    </w:pPr>
  </w:p>
  <w:p w14:paraId="57BD2055" w14:textId="77777777" w:rsidR="00F903F3" w:rsidRDefault="00000000" w:rsidP="00C46C82">
    <w:pPr>
      <w:pStyle w:val="Footer"/>
    </w:pPr>
    <w:sdt>
      <w:sdtPr>
        <w:alias w:val="DocID"/>
        <w:tag w:val="DocID"/>
        <w:id w:val="-1417707420"/>
        <w:text/>
      </w:sdtPr>
      <w:sdtContent>
        <w:r w:rsidR="000711A3">
          <w:t xml:space="preserve">     </w:t>
        </w:r>
      </w:sdtContent>
    </w:sdt>
    <w:r w:rsidR="000711A3">
      <w:tab/>
    </w:r>
    <w:r w:rsidR="000711A3">
      <w:tab/>
    </w:r>
    <w:sdt>
      <w:sdtPr>
        <w:alias w:val="Firm name"/>
        <w:tag w:val="FirmName"/>
        <w:id w:val="-565877776"/>
        <w:showingPlcHdr/>
        <w:text/>
      </w:sdtPr>
      <w:sdtContent/>
    </w:sdt>
  </w:p>
  <w:p w14:paraId="0D8E428F"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C3C92" w14:textId="77777777" w:rsidR="007A2F0D" w:rsidRDefault="007A2F0D">
      <w:r>
        <w:separator/>
      </w:r>
    </w:p>
  </w:footnote>
  <w:footnote w:type="continuationSeparator" w:id="0">
    <w:p w14:paraId="4C0C1739" w14:textId="77777777" w:rsidR="007A2F0D" w:rsidRDefault="007A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B3F7" w14:textId="77777777" w:rsidR="00AF4E83" w:rsidRDefault="00713D90" w:rsidP="008660CB">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DAD1" w14:textId="275013C7" w:rsidR="006A01FF" w:rsidRPr="006A01FF" w:rsidRDefault="006A01FF" w:rsidP="006A01FF">
    <w:pPr>
      <w:pStyle w:val="Header"/>
      <w:jc w:val="right"/>
      <w:rPr>
        <w:i/>
        <w:iCs/>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D2C45FB6">
      <w:start w:val="1"/>
      <w:numFmt w:val="upperLetter"/>
      <w:pStyle w:val="Recitals"/>
      <w:lvlText w:val="(%1)"/>
      <w:lvlJc w:val="left"/>
      <w:pPr>
        <w:tabs>
          <w:tab w:val="num" w:pos="709"/>
        </w:tabs>
        <w:ind w:left="709" w:hanging="709"/>
      </w:pPr>
      <w:rPr>
        <w:rFonts w:hint="default"/>
      </w:rPr>
    </w:lvl>
    <w:lvl w:ilvl="1" w:tplc="631C9B3E" w:tentative="1">
      <w:start w:val="1"/>
      <w:numFmt w:val="lowerLetter"/>
      <w:lvlText w:val="%2."/>
      <w:lvlJc w:val="left"/>
      <w:pPr>
        <w:tabs>
          <w:tab w:val="num" w:pos="1440"/>
        </w:tabs>
        <w:ind w:left="1440" w:hanging="360"/>
      </w:pPr>
    </w:lvl>
    <w:lvl w:ilvl="2" w:tplc="0462718E" w:tentative="1">
      <w:start w:val="1"/>
      <w:numFmt w:val="lowerRoman"/>
      <w:lvlText w:val="%3."/>
      <w:lvlJc w:val="right"/>
      <w:pPr>
        <w:tabs>
          <w:tab w:val="num" w:pos="2160"/>
        </w:tabs>
        <w:ind w:left="2160" w:hanging="180"/>
      </w:pPr>
    </w:lvl>
    <w:lvl w:ilvl="3" w:tplc="E532576C" w:tentative="1">
      <w:start w:val="1"/>
      <w:numFmt w:val="decimal"/>
      <w:lvlText w:val="%4."/>
      <w:lvlJc w:val="left"/>
      <w:pPr>
        <w:tabs>
          <w:tab w:val="num" w:pos="2880"/>
        </w:tabs>
        <w:ind w:left="2880" w:hanging="360"/>
      </w:pPr>
    </w:lvl>
    <w:lvl w:ilvl="4" w:tplc="4B705EC8" w:tentative="1">
      <w:start w:val="1"/>
      <w:numFmt w:val="lowerLetter"/>
      <w:lvlText w:val="%5."/>
      <w:lvlJc w:val="left"/>
      <w:pPr>
        <w:tabs>
          <w:tab w:val="num" w:pos="3600"/>
        </w:tabs>
        <w:ind w:left="3600" w:hanging="360"/>
      </w:pPr>
    </w:lvl>
    <w:lvl w:ilvl="5" w:tplc="AB42B8B4" w:tentative="1">
      <w:start w:val="1"/>
      <w:numFmt w:val="lowerRoman"/>
      <w:lvlText w:val="%6."/>
      <w:lvlJc w:val="right"/>
      <w:pPr>
        <w:tabs>
          <w:tab w:val="num" w:pos="4320"/>
        </w:tabs>
        <w:ind w:left="4320" w:hanging="180"/>
      </w:pPr>
    </w:lvl>
    <w:lvl w:ilvl="6" w:tplc="7C3A2CE4" w:tentative="1">
      <w:start w:val="1"/>
      <w:numFmt w:val="decimal"/>
      <w:lvlText w:val="%7."/>
      <w:lvlJc w:val="left"/>
      <w:pPr>
        <w:tabs>
          <w:tab w:val="num" w:pos="5040"/>
        </w:tabs>
        <w:ind w:left="5040" w:hanging="360"/>
      </w:pPr>
    </w:lvl>
    <w:lvl w:ilvl="7" w:tplc="6F86E40E" w:tentative="1">
      <w:start w:val="1"/>
      <w:numFmt w:val="lowerLetter"/>
      <w:lvlText w:val="%8."/>
      <w:lvlJc w:val="left"/>
      <w:pPr>
        <w:tabs>
          <w:tab w:val="num" w:pos="5760"/>
        </w:tabs>
        <w:ind w:left="5760" w:hanging="360"/>
      </w:pPr>
    </w:lvl>
    <w:lvl w:ilvl="8" w:tplc="A2C4E570"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73DAEBFC">
      <w:start w:val="1"/>
      <w:numFmt w:val="decimal"/>
      <w:pStyle w:val="TOC4"/>
      <w:lvlText w:val="%1."/>
      <w:lvlJc w:val="left"/>
      <w:pPr>
        <w:ind w:left="360" w:hanging="360"/>
      </w:pPr>
      <w:rPr>
        <w:rFonts w:ascii="Arial Bold" w:hAnsi="Arial Bold" w:hint="default"/>
        <w:b/>
        <w:i w:val="0"/>
        <w:sz w:val="21"/>
      </w:rPr>
    </w:lvl>
    <w:lvl w:ilvl="1" w:tplc="E056073E" w:tentative="1">
      <w:start w:val="1"/>
      <w:numFmt w:val="lowerLetter"/>
      <w:lvlText w:val="%2."/>
      <w:lvlJc w:val="left"/>
      <w:pPr>
        <w:ind w:left="3566" w:hanging="360"/>
      </w:pPr>
    </w:lvl>
    <w:lvl w:ilvl="2" w:tplc="2EE4426A" w:tentative="1">
      <w:start w:val="1"/>
      <w:numFmt w:val="lowerRoman"/>
      <w:lvlText w:val="%3."/>
      <w:lvlJc w:val="right"/>
      <w:pPr>
        <w:ind w:left="4286" w:hanging="180"/>
      </w:pPr>
    </w:lvl>
    <w:lvl w:ilvl="3" w:tplc="5EB0133A" w:tentative="1">
      <w:start w:val="1"/>
      <w:numFmt w:val="decimal"/>
      <w:lvlText w:val="%4."/>
      <w:lvlJc w:val="left"/>
      <w:pPr>
        <w:ind w:left="5006" w:hanging="360"/>
      </w:pPr>
    </w:lvl>
    <w:lvl w:ilvl="4" w:tplc="DA601FCA" w:tentative="1">
      <w:start w:val="1"/>
      <w:numFmt w:val="lowerLetter"/>
      <w:lvlText w:val="%5."/>
      <w:lvlJc w:val="left"/>
      <w:pPr>
        <w:ind w:left="5726" w:hanging="360"/>
      </w:pPr>
    </w:lvl>
    <w:lvl w:ilvl="5" w:tplc="F432D4EC" w:tentative="1">
      <w:start w:val="1"/>
      <w:numFmt w:val="lowerRoman"/>
      <w:lvlText w:val="%6."/>
      <w:lvlJc w:val="right"/>
      <w:pPr>
        <w:ind w:left="6446" w:hanging="180"/>
      </w:pPr>
    </w:lvl>
    <w:lvl w:ilvl="6" w:tplc="EB82A028" w:tentative="1">
      <w:start w:val="1"/>
      <w:numFmt w:val="decimal"/>
      <w:lvlText w:val="%7."/>
      <w:lvlJc w:val="left"/>
      <w:pPr>
        <w:ind w:left="7166" w:hanging="360"/>
      </w:pPr>
    </w:lvl>
    <w:lvl w:ilvl="7" w:tplc="9EDA93A0" w:tentative="1">
      <w:start w:val="1"/>
      <w:numFmt w:val="lowerLetter"/>
      <w:lvlText w:val="%8."/>
      <w:lvlJc w:val="left"/>
      <w:pPr>
        <w:ind w:left="7886" w:hanging="360"/>
      </w:pPr>
    </w:lvl>
    <w:lvl w:ilvl="8" w:tplc="05B8AF44"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A1802B2A">
      <w:start w:val="1"/>
      <w:numFmt w:val="decimal"/>
      <w:pStyle w:val="Parties"/>
      <w:lvlText w:val="(%1)"/>
      <w:lvlJc w:val="left"/>
      <w:pPr>
        <w:tabs>
          <w:tab w:val="num" w:pos="709"/>
        </w:tabs>
        <w:ind w:left="709" w:hanging="709"/>
      </w:pPr>
      <w:rPr>
        <w:rFonts w:hint="default"/>
      </w:rPr>
    </w:lvl>
    <w:lvl w:ilvl="1" w:tplc="53EE5C64" w:tentative="1">
      <w:start w:val="1"/>
      <w:numFmt w:val="lowerLetter"/>
      <w:lvlText w:val="%2."/>
      <w:lvlJc w:val="left"/>
      <w:pPr>
        <w:tabs>
          <w:tab w:val="num" w:pos="1440"/>
        </w:tabs>
        <w:ind w:left="1440" w:hanging="360"/>
      </w:pPr>
    </w:lvl>
    <w:lvl w:ilvl="2" w:tplc="F760AAA6" w:tentative="1">
      <w:start w:val="1"/>
      <w:numFmt w:val="lowerRoman"/>
      <w:lvlText w:val="%3."/>
      <w:lvlJc w:val="right"/>
      <w:pPr>
        <w:tabs>
          <w:tab w:val="num" w:pos="2160"/>
        </w:tabs>
        <w:ind w:left="2160" w:hanging="180"/>
      </w:pPr>
    </w:lvl>
    <w:lvl w:ilvl="3" w:tplc="0E9A7926" w:tentative="1">
      <w:start w:val="1"/>
      <w:numFmt w:val="decimal"/>
      <w:lvlText w:val="%4."/>
      <w:lvlJc w:val="left"/>
      <w:pPr>
        <w:tabs>
          <w:tab w:val="num" w:pos="2880"/>
        </w:tabs>
        <w:ind w:left="2880" w:hanging="360"/>
      </w:pPr>
    </w:lvl>
    <w:lvl w:ilvl="4" w:tplc="1BB65AB8" w:tentative="1">
      <w:start w:val="1"/>
      <w:numFmt w:val="lowerLetter"/>
      <w:lvlText w:val="%5."/>
      <w:lvlJc w:val="left"/>
      <w:pPr>
        <w:tabs>
          <w:tab w:val="num" w:pos="3600"/>
        </w:tabs>
        <w:ind w:left="3600" w:hanging="360"/>
      </w:pPr>
    </w:lvl>
    <w:lvl w:ilvl="5" w:tplc="B38A5208" w:tentative="1">
      <w:start w:val="1"/>
      <w:numFmt w:val="lowerRoman"/>
      <w:lvlText w:val="%6."/>
      <w:lvlJc w:val="right"/>
      <w:pPr>
        <w:tabs>
          <w:tab w:val="num" w:pos="4320"/>
        </w:tabs>
        <w:ind w:left="4320" w:hanging="180"/>
      </w:pPr>
    </w:lvl>
    <w:lvl w:ilvl="6" w:tplc="67F6C386" w:tentative="1">
      <w:start w:val="1"/>
      <w:numFmt w:val="decimal"/>
      <w:lvlText w:val="%7."/>
      <w:lvlJc w:val="left"/>
      <w:pPr>
        <w:tabs>
          <w:tab w:val="num" w:pos="5040"/>
        </w:tabs>
        <w:ind w:left="5040" w:hanging="360"/>
      </w:pPr>
    </w:lvl>
    <w:lvl w:ilvl="7" w:tplc="95DC8CB2" w:tentative="1">
      <w:start w:val="1"/>
      <w:numFmt w:val="lowerLetter"/>
      <w:lvlText w:val="%8."/>
      <w:lvlJc w:val="left"/>
      <w:pPr>
        <w:tabs>
          <w:tab w:val="num" w:pos="5760"/>
        </w:tabs>
        <w:ind w:left="5760" w:hanging="360"/>
      </w:pPr>
    </w:lvl>
    <w:lvl w:ilvl="8" w:tplc="292CF34C"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79A0792C">
      <w:start w:val="1"/>
      <w:numFmt w:val="decimal"/>
      <w:lvlText w:val="%1."/>
      <w:lvlJc w:val="left"/>
      <w:pPr>
        <w:ind w:left="720" w:hanging="360"/>
      </w:pPr>
      <w:rPr>
        <w:rFonts w:hint="default"/>
        <w:b/>
        <w:i w:val="0"/>
      </w:rPr>
    </w:lvl>
    <w:lvl w:ilvl="1" w:tplc="2C16C584" w:tentative="1">
      <w:start w:val="1"/>
      <w:numFmt w:val="lowerLetter"/>
      <w:lvlText w:val="%2."/>
      <w:lvlJc w:val="left"/>
      <w:pPr>
        <w:ind w:left="1440" w:hanging="360"/>
      </w:pPr>
    </w:lvl>
    <w:lvl w:ilvl="2" w:tplc="159EC0D6" w:tentative="1">
      <w:start w:val="1"/>
      <w:numFmt w:val="lowerRoman"/>
      <w:lvlText w:val="%3."/>
      <w:lvlJc w:val="right"/>
      <w:pPr>
        <w:ind w:left="2160" w:hanging="180"/>
      </w:pPr>
    </w:lvl>
    <w:lvl w:ilvl="3" w:tplc="819A74AE" w:tentative="1">
      <w:start w:val="1"/>
      <w:numFmt w:val="decimal"/>
      <w:lvlText w:val="%4."/>
      <w:lvlJc w:val="left"/>
      <w:pPr>
        <w:ind w:left="2880" w:hanging="360"/>
      </w:pPr>
    </w:lvl>
    <w:lvl w:ilvl="4" w:tplc="AEDA97A4" w:tentative="1">
      <w:start w:val="1"/>
      <w:numFmt w:val="lowerLetter"/>
      <w:lvlText w:val="%5."/>
      <w:lvlJc w:val="left"/>
      <w:pPr>
        <w:ind w:left="3600" w:hanging="360"/>
      </w:pPr>
    </w:lvl>
    <w:lvl w:ilvl="5" w:tplc="DC5E9500" w:tentative="1">
      <w:start w:val="1"/>
      <w:numFmt w:val="lowerRoman"/>
      <w:lvlText w:val="%6."/>
      <w:lvlJc w:val="right"/>
      <w:pPr>
        <w:ind w:left="4320" w:hanging="180"/>
      </w:pPr>
    </w:lvl>
    <w:lvl w:ilvl="6" w:tplc="91260B1E" w:tentative="1">
      <w:start w:val="1"/>
      <w:numFmt w:val="decimal"/>
      <w:lvlText w:val="%7."/>
      <w:lvlJc w:val="left"/>
      <w:pPr>
        <w:ind w:left="5040" w:hanging="360"/>
      </w:pPr>
    </w:lvl>
    <w:lvl w:ilvl="7" w:tplc="DED639B8" w:tentative="1">
      <w:start w:val="1"/>
      <w:numFmt w:val="lowerLetter"/>
      <w:lvlText w:val="%8."/>
      <w:lvlJc w:val="left"/>
      <w:pPr>
        <w:ind w:left="5760" w:hanging="360"/>
      </w:pPr>
    </w:lvl>
    <w:lvl w:ilvl="8" w:tplc="B94AF7E2" w:tentative="1">
      <w:start w:val="1"/>
      <w:numFmt w:val="lowerRoman"/>
      <w:lvlText w:val="%9."/>
      <w:lvlJc w:val="right"/>
      <w:pPr>
        <w:ind w:left="6480" w:hanging="180"/>
      </w:pPr>
    </w:lvl>
  </w:abstractNum>
  <w:num w:numId="1" w16cid:durableId="2002541266">
    <w:abstractNumId w:val="10"/>
  </w:num>
  <w:num w:numId="2" w16cid:durableId="1962804647">
    <w:abstractNumId w:val="13"/>
  </w:num>
  <w:num w:numId="3" w16cid:durableId="2046444633">
    <w:abstractNumId w:val="16"/>
  </w:num>
  <w:num w:numId="4" w16cid:durableId="979386710">
    <w:abstractNumId w:val="11"/>
  </w:num>
  <w:num w:numId="5" w16cid:durableId="1976567495">
    <w:abstractNumId w:val="14"/>
  </w:num>
  <w:num w:numId="6" w16cid:durableId="316611455">
    <w:abstractNumId w:val="9"/>
  </w:num>
  <w:num w:numId="7" w16cid:durableId="1901674039">
    <w:abstractNumId w:val="7"/>
  </w:num>
  <w:num w:numId="8" w16cid:durableId="1624920179">
    <w:abstractNumId w:val="6"/>
  </w:num>
  <w:num w:numId="9" w16cid:durableId="968821450">
    <w:abstractNumId w:val="5"/>
  </w:num>
  <w:num w:numId="10" w16cid:durableId="1633944864">
    <w:abstractNumId w:val="4"/>
  </w:num>
  <w:num w:numId="11" w16cid:durableId="175390038">
    <w:abstractNumId w:val="8"/>
  </w:num>
  <w:num w:numId="12" w16cid:durableId="1755929380">
    <w:abstractNumId w:val="3"/>
  </w:num>
  <w:num w:numId="13" w16cid:durableId="476529029">
    <w:abstractNumId w:val="2"/>
  </w:num>
  <w:num w:numId="14" w16cid:durableId="996112990">
    <w:abstractNumId w:val="1"/>
  </w:num>
  <w:num w:numId="15" w16cid:durableId="606960933">
    <w:abstractNumId w:val="0"/>
  </w:num>
  <w:num w:numId="16" w16cid:durableId="465469079">
    <w:abstractNumId w:val="12"/>
  </w:num>
  <w:num w:numId="17" w16cid:durableId="3728543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1A3"/>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31922"/>
    <w:rsid w:val="00134AE3"/>
    <w:rsid w:val="0013711B"/>
    <w:rsid w:val="00146892"/>
    <w:rsid w:val="001645D1"/>
    <w:rsid w:val="00164A05"/>
    <w:rsid w:val="001913C1"/>
    <w:rsid w:val="001A2826"/>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325E49"/>
    <w:rsid w:val="00331FCF"/>
    <w:rsid w:val="003443D5"/>
    <w:rsid w:val="00350F94"/>
    <w:rsid w:val="00354458"/>
    <w:rsid w:val="00362D12"/>
    <w:rsid w:val="003A37FD"/>
    <w:rsid w:val="003C4058"/>
    <w:rsid w:val="003C4640"/>
    <w:rsid w:val="003D19AA"/>
    <w:rsid w:val="003D599E"/>
    <w:rsid w:val="003E4347"/>
    <w:rsid w:val="004069C0"/>
    <w:rsid w:val="00412CE6"/>
    <w:rsid w:val="004318BF"/>
    <w:rsid w:val="00436B0E"/>
    <w:rsid w:val="00443C4F"/>
    <w:rsid w:val="00447D6F"/>
    <w:rsid w:val="004564F5"/>
    <w:rsid w:val="00460539"/>
    <w:rsid w:val="00474065"/>
    <w:rsid w:val="00486920"/>
    <w:rsid w:val="004A6740"/>
    <w:rsid w:val="004B05D7"/>
    <w:rsid w:val="004C31F3"/>
    <w:rsid w:val="005045A9"/>
    <w:rsid w:val="00521D74"/>
    <w:rsid w:val="005427ED"/>
    <w:rsid w:val="00547D7B"/>
    <w:rsid w:val="00563D29"/>
    <w:rsid w:val="005750C7"/>
    <w:rsid w:val="00586325"/>
    <w:rsid w:val="005867F1"/>
    <w:rsid w:val="005A2820"/>
    <w:rsid w:val="005B636B"/>
    <w:rsid w:val="005C48DA"/>
    <w:rsid w:val="005C58DF"/>
    <w:rsid w:val="005D7A96"/>
    <w:rsid w:val="005E64D0"/>
    <w:rsid w:val="005F30A9"/>
    <w:rsid w:val="00611F80"/>
    <w:rsid w:val="00615756"/>
    <w:rsid w:val="00631605"/>
    <w:rsid w:val="0063519A"/>
    <w:rsid w:val="00637CE7"/>
    <w:rsid w:val="00641981"/>
    <w:rsid w:val="00650E3C"/>
    <w:rsid w:val="0066349C"/>
    <w:rsid w:val="00664EC6"/>
    <w:rsid w:val="00665A5B"/>
    <w:rsid w:val="00671861"/>
    <w:rsid w:val="006A01FF"/>
    <w:rsid w:val="006E1EA1"/>
    <w:rsid w:val="007043FC"/>
    <w:rsid w:val="00713D90"/>
    <w:rsid w:val="00790859"/>
    <w:rsid w:val="007A2F0D"/>
    <w:rsid w:val="007B159D"/>
    <w:rsid w:val="007C03F7"/>
    <w:rsid w:val="007D10E8"/>
    <w:rsid w:val="007D4683"/>
    <w:rsid w:val="007F7F66"/>
    <w:rsid w:val="00810EBA"/>
    <w:rsid w:val="00822317"/>
    <w:rsid w:val="00826150"/>
    <w:rsid w:val="00827FF9"/>
    <w:rsid w:val="008305D6"/>
    <w:rsid w:val="00836488"/>
    <w:rsid w:val="008660CB"/>
    <w:rsid w:val="00876524"/>
    <w:rsid w:val="008A4246"/>
    <w:rsid w:val="008B2806"/>
    <w:rsid w:val="008C15DB"/>
    <w:rsid w:val="008C77D5"/>
    <w:rsid w:val="009116E3"/>
    <w:rsid w:val="00911B48"/>
    <w:rsid w:val="00926C53"/>
    <w:rsid w:val="0095152E"/>
    <w:rsid w:val="009515B0"/>
    <w:rsid w:val="00957028"/>
    <w:rsid w:val="00966A7F"/>
    <w:rsid w:val="009A1F3C"/>
    <w:rsid w:val="009A5A44"/>
    <w:rsid w:val="009B2F07"/>
    <w:rsid w:val="009B7FC4"/>
    <w:rsid w:val="009D24F1"/>
    <w:rsid w:val="009E5624"/>
    <w:rsid w:val="009F3AA9"/>
    <w:rsid w:val="009F407B"/>
    <w:rsid w:val="009F5E0D"/>
    <w:rsid w:val="00A11298"/>
    <w:rsid w:val="00A23128"/>
    <w:rsid w:val="00A446D5"/>
    <w:rsid w:val="00A47C60"/>
    <w:rsid w:val="00A534AD"/>
    <w:rsid w:val="00A54CED"/>
    <w:rsid w:val="00A73B2A"/>
    <w:rsid w:val="00A747FE"/>
    <w:rsid w:val="00AA422A"/>
    <w:rsid w:val="00AB2BC5"/>
    <w:rsid w:val="00AC67C2"/>
    <w:rsid w:val="00AD2466"/>
    <w:rsid w:val="00AE6229"/>
    <w:rsid w:val="00AF2F6C"/>
    <w:rsid w:val="00AF4E83"/>
    <w:rsid w:val="00B512E2"/>
    <w:rsid w:val="00B8026E"/>
    <w:rsid w:val="00BE7F58"/>
    <w:rsid w:val="00BF1406"/>
    <w:rsid w:val="00BF6223"/>
    <w:rsid w:val="00C05BB4"/>
    <w:rsid w:val="00C10D16"/>
    <w:rsid w:val="00C1247B"/>
    <w:rsid w:val="00C25254"/>
    <w:rsid w:val="00C266C0"/>
    <w:rsid w:val="00C372A1"/>
    <w:rsid w:val="00C40C31"/>
    <w:rsid w:val="00C43E27"/>
    <w:rsid w:val="00C46C82"/>
    <w:rsid w:val="00C65A2B"/>
    <w:rsid w:val="00C732B4"/>
    <w:rsid w:val="00C77C6E"/>
    <w:rsid w:val="00C8006E"/>
    <w:rsid w:val="00C958F2"/>
    <w:rsid w:val="00C96286"/>
    <w:rsid w:val="00CC10E7"/>
    <w:rsid w:val="00CD1BF3"/>
    <w:rsid w:val="00CD3C44"/>
    <w:rsid w:val="00CE2D50"/>
    <w:rsid w:val="00CE7735"/>
    <w:rsid w:val="00D03D1D"/>
    <w:rsid w:val="00D03ED5"/>
    <w:rsid w:val="00D17215"/>
    <w:rsid w:val="00D2538C"/>
    <w:rsid w:val="00D25E01"/>
    <w:rsid w:val="00D304E8"/>
    <w:rsid w:val="00D310C4"/>
    <w:rsid w:val="00D67411"/>
    <w:rsid w:val="00D70947"/>
    <w:rsid w:val="00D873CA"/>
    <w:rsid w:val="00DB4683"/>
    <w:rsid w:val="00DB60B0"/>
    <w:rsid w:val="00DC11C1"/>
    <w:rsid w:val="00DC2284"/>
    <w:rsid w:val="00DE129D"/>
    <w:rsid w:val="00DE3288"/>
    <w:rsid w:val="00DE3A4D"/>
    <w:rsid w:val="00DF0E09"/>
    <w:rsid w:val="00DF3BAC"/>
    <w:rsid w:val="00E32F50"/>
    <w:rsid w:val="00E3576D"/>
    <w:rsid w:val="00E45680"/>
    <w:rsid w:val="00E56208"/>
    <w:rsid w:val="00E61F2A"/>
    <w:rsid w:val="00E701DE"/>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3C120"/>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90"/>
    <w:pPr>
      <w:spacing w:line="240" w:lineRule="auto"/>
      <w:jc w:val="left"/>
    </w:pPr>
    <w:rPr>
      <w:rFonts w:ascii="Times New Roman" w:hAnsi="Times New Roman"/>
      <w:sz w:val="22"/>
      <w:szCs w:val="24"/>
      <w:lang w:val="en-US" w:eastAsia="en-U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line="264" w:lineRule="auto"/>
      <w:jc w:val="both"/>
      <w:outlineLvl w:val="4"/>
    </w:pPr>
    <w:rPr>
      <w:rFonts w:ascii="Arial" w:eastAsia="Arial Unicode MS" w:hAnsi="Arial"/>
      <w:szCs w:val="21"/>
      <w:lang w:val="en-GB" w:eastAsia="en-GB"/>
    </w:rPr>
  </w:style>
  <w:style w:type="paragraph" w:styleId="Heading6">
    <w:name w:val="heading 6"/>
    <w:basedOn w:val="Normal"/>
    <w:next w:val="Normal"/>
    <w:uiPriority w:val="16"/>
    <w:semiHidden/>
    <w:qFormat/>
    <w:pPr>
      <w:spacing w:before="240" w:after="60" w:line="264" w:lineRule="auto"/>
      <w:jc w:val="both"/>
      <w:outlineLvl w:val="5"/>
    </w:pPr>
    <w:rPr>
      <w:rFonts w:eastAsia="Arial Unicode MS"/>
      <w:i/>
      <w:szCs w:val="21"/>
      <w:lang w:val="en-GB" w:eastAsia="en-GB"/>
    </w:rPr>
  </w:style>
  <w:style w:type="paragraph" w:styleId="Heading7">
    <w:name w:val="heading 7"/>
    <w:basedOn w:val="Normal"/>
    <w:next w:val="Normal"/>
    <w:uiPriority w:val="16"/>
    <w:semiHidden/>
    <w:qFormat/>
    <w:pPr>
      <w:spacing w:before="240" w:after="60" w:line="264" w:lineRule="auto"/>
      <w:jc w:val="both"/>
      <w:outlineLvl w:val="6"/>
    </w:pPr>
    <w:rPr>
      <w:rFonts w:ascii="Arial" w:eastAsia="Arial Unicode MS" w:hAnsi="Arial"/>
      <w:sz w:val="20"/>
      <w:szCs w:val="21"/>
      <w:lang w:val="en-GB" w:eastAsia="en-GB"/>
    </w:rPr>
  </w:style>
  <w:style w:type="paragraph" w:styleId="Heading8">
    <w:name w:val="heading 8"/>
    <w:basedOn w:val="Normal"/>
    <w:next w:val="Normal"/>
    <w:uiPriority w:val="16"/>
    <w:semiHidden/>
    <w:qFormat/>
    <w:pPr>
      <w:spacing w:before="240" w:after="60" w:line="264" w:lineRule="auto"/>
      <w:jc w:val="both"/>
      <w:outlineLvl w:val="7"/>
    </w:pPr>
    <w:rPr>
      <w:rFonts w:ascii="Arial" w:eastAsia="Arial Unicode MS" w:hAnsi="Arial"/>
      <w:i/>
      <w:sz w:val="20"/>
      <w:szCs w:val="21"/>
      <w:lang w:val="en-GB" w:eastAsia="en-GB"/>
    </w:rPr>
  </w:style>
  <w:style w:type="paragraph" w:styleId="Heading9">
    <w:name w:val="heading 9"/>
    <w:basedOn w:val="Normal"/>
    <w:next w:val="Normal"/>
    <w:uiPriority w:val="16"/>
    <w:semiHidden/>
    <w:qFormat/>
    <w:pPr>
      <w:spacing w:before="240" w:after="60" w:line="264" w:lineRule="auto"/>
      <w:jc w:val="both"/>
      <w:outlineLvl w:val="8"/>
    </w:pPr>
    <w:rPr>
      <w:rFonts w:ascii="Arial" w:eastAsia="Arial Unicode MS" w:hAnsi="Arial"/>
      <w:b/>
      <w:i/>
      <w:sz w:val="18"/>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spacing w:line="264" w:lineRule="auto"/>
    </w:pPr>
    <w:rPr>
      <w:rFonts w:ascii="Arial" w:eastAsia="Arial Unicode MS" w:hAnsi="Arial"/>
      <w:sz w:val="16"/>
      <w:szCs w:val="21"/>
      <w:lang w:val="en-GB"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spacing w:line="264" w:lineRule="auto"/>
      <w:ind w:left="720" w:hanging="720"/>
      <w:jc w:val="both"/>
    </w:pPr>
    <w:rPr>
      <w:rFonts w:ascii="Arial" w:eastAsia="Arial Unicode MS" w:hAnsi="Arial"/>
      <w:sz w:val="16"/>
      <w:szCs w:val="21"/>
      <w:lang w:val="en-GB" w:eastAsia="en-GB"/>
    </w:rPr>
  </w:style>
  <w:style w:type="paragraph" w:styleId="Header">
    <w:name w:val="header"/>
    <w:basedOn w:val="Normal"/>
    <w:link w:val="HeaderChar"/>
    <w:uiPriority w:val="13"/>
    <w:unhideWhenUsed/>
    <w:pPr>
      <w:tabs>
        <w:tab w:val="center" w:pos="4536"/>
        <w:tab w:val="right" w:pos="9072"/>
      </w:tabs>
      <w:spacing w:line="264" w:lineRule="auto"/>
      <w:jc w:val="both"/>
    </w:pPr>
    <w:rPr>
      <w:rFonts w:ascii="Arial" w:eastAsia="Arial Unicode MS" w:hAnsi="Arial"/>
      <w:sz w:val="21"/>
      <w:szCs w:val="21"/>
      <w:lang w:val="en-GB" w:eastAsia="en-GB"/>
    </w:r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BlockText">
    <w:name w:val="Block Text"/>
    <w:basedOn w:val="Normal"/>
    <w:uiPriority w:val="17"/>
    <w:semiHidden/>
    <w:pPr>
      <w:spacing w:after="120" w:line="264" w:lineRule="auto"/>
      <w:ind w:left="1440" w:right="1440"/>
      <w:jc w:val="both"/>
    </w:pPr>
    <w:rPr>
      <w:rFonts w:ascii="Arial" w:eastAsia="Arial Unicode MS" w:hAnsi="Arial"/>
      <w:sz w:val="21"/>
      <w:szCs w:val="21"/>
      <w:lang w:val="en-GB" w:eastAsia="en-GB"/>
    </w:rPr>
  </w:style>
  <w:style w:type="paragraph" w:styleId="BodyText">
    <w:name w:val="Body Text"/>
    <w:basedOn w:val="Normal"/>
    <w:uiPriority w:val="17"/>
    <w:semiHidden/>
    <w:pPr>
      <w:spacing w:after="120" w:line="264" w:lineRule="auto"/>
      <w:jc w:val="both"/>
    </w:pPr>
    <w:rPr>
      <w:rFonts w:ascii="Arial" w:eastAsia="Arial Unicode MS" w:hAnsi="Arial"/>
      <w:sz w:val="21"/>
      <w:szCs w:val="21"/>
      <w:lang w:val="en-GB" w:eastAsia="en-GB"/>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jc w:val="both"/>
    </w:pPr>
    <w:rPr>
      <w:rFonts w:ascii="Arial" w:eastAsia="Arial Unicode MS" w:hAnsi="Arial"/>
      <w:sz w:val="21"/>
      <w:szCs w:val="21"/>
      <w:lang w:val="en-GB" w:eastAsia="en-GB"/>
    </w:rPr>
  </w:style>
  <w:style w:type="paragraph" w:styleId="BodyText3">
    <w:name w:val="Body Text 3"/>
    <w:basedOn w:val="Normal"/>
    <w:uiPriority w:val="17"/>
    <w:semiHidden/>
    <w:pPr>
      <w:spacing w:after="120" w:line="264" w:lineRule="auto"/>
      <w:jc w:val="both"/>
    </w:pPr>
    <w:rPr>
      <w:rFonts w:ascii="Arial" w:eastAsia="Arial Unicode MS" w:hAnsi="Arial"/>
      <w:sz w:val="16"/>
      <w:szCs w:val="21"/>
      <w:lang w:val="en-GB" w:eastAsia="en-GB"/>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line="264" w:lineRule="auto"/>
      <w:ind w:left="283"/>
      <w:jc w:val="both"/>
    </w:pPr>
    <w:rPr>
      <w:rFonts w:ascii="Arial" w:eastAsia="Arial Unicode MS" w:hAnsi="Arial"/>
      <w:sz w:val="21"/>
      <w:szCs w:val="21"/>
      <w:lang w:val="en-GB" w:eastAsia="en-GB"/>
    </w:r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jc w:val="both"/>
    </w:pPr>
    <w:rPr>
      <w:rFonts w:ascii="Arial" w:eastAsia="Arial Unicode MS" w:hAnsi="Arial"/>
      <w:sz w:val="21"/>
      <w:szCs w:val="21"/>
      <w:lang w:val="en-GB" w:eastAsia="en-GB"/>
    </w:rPr>
  </w:style>
  <w:style w:type="paragraph" w:styleId="BodyTextIndent3">
    <w:name w:val="Body Text Indent 3"/>
    <w:basedOn w:val="Normal"/>
    <w:uiPriority w:val="17"/>
    <w:semiHidden/>
    <w:pPr>
      <w:spacing w:after="120" w:line="264" w:lineRule="auto"/>
      <w:ind w:left="283"/>
      <w:jc w:val="both"/>
    </w:pPr>
    <w:rPr>
      <w:rFonts w:ascii="Arial" w:eastAsia="Arial Unicode MS" w:hAnsi="Arial"/>
      <w:sz w:val="16"/>
      <w:szCs w:val="21"/>
      <w:lang w:val="en-GB" w:eastAsia="en-GB"/>
    </w:rPr>
  </w:style>
  <w:style w:type="paragraph" w:styleId="Caption">
    <w:name w:val="caption"/>
    <w:basedOn w:val="Normal"/>
    <w:next w:val="Normal"/>
    <w:uiPriority w:val="17"/>
    <w:unhideWhenUsed/>
    <w:pPr>
      <w:spacing w:before="120" w:after="120" w:line="264" w:lineRule="auto"/>
      <w:jc w:val="both"/>
    </w:pPr>
    <w:rPr>
      <w:rFonts w:ascii="Arial" w:eastAsia="Arial Unicode MS" w:hAnsi="Arial"/>
      <w:b/>
      <w:sz w:val="21"/>
      <w:szCs w:val="21"/>
      <w:lang w:val="en-GB" w:eastAsia="en-GB"/>
    </w:rPr>
  </w:style>
  <w:style w:type="paragraph" w:styleId="Closing">
    <w:name w:val="Closing"/>
    <w:basedOn w:val="Normal"/>
    <w:uiPriority w:val="17"/>
    <w:semiHidden/>
    <w:pPr>
      <w:spacing w:line="264" w:lineRule="auto"/>
      <w:ind w:left="4252"/>
      <w:jc w:val="both"/>
    </w:pPr>
    <w:rPr>
      <w:rFonts w:ascii="Arial" w:eastAsia="Arial Unicode MS" w:hAnsi="Arial"/>
      <w:sz w:val="21"/>
      <w:szCs w:val="21"/>
      <w:lang w:val="en-GB" w:eastAsia="en-GB"/>
    </w:r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pPr>
      <w:spacing w:line="264" w:lineRule="auto"/>
      <w:jc w:val="both"/>
    </w:pPr>
    <w:rPr>
      <w:rFonts w:ascii="Arial" w:eastAsia="Arial Unicode MS" w:hAnsi="Arial"/>
      <w:sz w:val="20"/>
      <w:szCs w:val="21"/>
      <w:lang w:val="en-GB" w:eastAsia="en-GB"/>
    </w:rPr>
  </w:style>
  <w:style w:type="paragraph" w:styleId="Date">
    <w:name w:val="Date"/>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DocumentMap">
    <w:name w:val="Document Map"/>
    <w:basedOn w:val="Normal"/>
    <w:uiPriority w:val="17"/>
    <w:semiHidden/>
    <w:pPr>
      <w:shd w:val="clear" w:color="auto" w:fill="000080"/>
      <w:spacing w:line="264" w:lineRule="auto"/>
      <w:jc w:val="both"/>
    </w:pPr>
    <w:rPr>
      <w:rFonts w:ascii="Tahoma" w:eastAsia="Arial Unicode MS" w:hAnsi="Tahoma"/>
      <w:sz w:val="21"/>
      <w:szCs w:val="21"/>
      <w:lang w:val="en-GB" w:eastAsia="en-GB"/>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pPr>
      <w:spacing w:line="264" w:lineRule="auto"/>
      <w:jc w:val="both"/>
    </w:pPr>
    <w:rPr>
      <w:rFonts w:ascii="Arial" w:eastAsia="Arial Unicode MS" w:hAnsi="Arial"/>
      <w:sz w:val="20"/>
      <w:szCs w:val="21"/>
      <w:lang w:val="en-GB" w:eastAsia="en-GB"/>
    </w:rPr>
  </w:style>
  <w:style w:type="paragraph" w:styleId="EnvelopeAddress">
    <w:name w:val="envelope address"/>
    <w:basedOn w:val="Normal"/>
    <w:uiPriority w:val="17"/>
    <w:semiHidden/>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EnvelopeReturn">
    <w:name w:val="envelope return"/>
    <w:basedOn w:val="Normal"/>
    <w:uiPriority w:val="17"/>
    <w:semiHidden/>
    <w:pPr>
      <w:spacing w:line="264" w:lineRule="auto"/>
      <w:jc w:val="both"/>
    </w:pPr>
    <w:rPr>
      <w:rFonts w:ascii="Arial" w:eastAsia="Arial Unicode MS" w:hAnsi="Arial"/>
      <w:sz w:val="20"/>
      <w:szCs w:val="21"/>
      <w:lang w:val="en-GB" w:eastAsia="en-GB"/>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spacing w:line="264" w:lineRule="auto"/>
      <w:ind w:left="210" w:hanging="210"/>
      <w:jc w:val="both"/>
    </w:pPr>
    <w:rPr>
      <w:rFonts w:ascii="Arial" w:eastAsia="Arial Unicode MS" w:hAnsi="Arial"/>
      <w:sz w:val="21"/>
      <w:szCs w:val="21"/>
      <w:lang w:val="en-GB" w:eastAsia="en-GB"/>
    </w:rPr>
  </w:style>
  <w:style w:type="paragraph" w:styleId="Index2">
    <w:name w:val="index 2"/>
    <w:basedOn w:val="Normal"/>
    <w:next w:val="Normal"/>
    <w:autoRedefine/>
    <w:uiPriority w:val="17"/>
    <w:semiHidden/>
    <w:pPr>
      <w:spacing w:line="264" w:lineRule="auto"/>
      <w:ind w:left="420" w:hanging="210"/>
      <w:jc w:val="both"/>
    </w:pPr>
    <w:rPr>
      <w:rFonts w:ascii="Arial" w:eastAsia="Arial Unicode MS" w:hAnsi="Arial"/>
      <w:sz w:val="21"/>
      <w:szCs w:val="21"/>
      <w:lang w:val="en-GB" w:eastAsia="en-GB"/>
    </w:rPr>
  </w:style>
  <w:style w:type="paragraph" w:styleId="Index3">
    <w:name w:val="index 3"/>
    <w:basedOn w:val="Normal"/>
    <w:next w:val="Normal"/>
    <w:autoRedefine/>
    <w:uiPriority w:val="17"/>
    <w:semiHidden/>
    <w:pPr>
      <w:spacing w:line="264" w:lineRule="auto"/>
      <w:ind w:left="630" w:hanging="210"/>
      <w:jc w:val="both"/>
    </w:pPr>
    <w:rPr>
      <w:rFonts w:ascii="Arial" w:eastAsia="Arial Unicode MS" w:hAnsi="Arial"/>
      <w:sz w:val="21"/>
      <w:szCs w:val="21"/>
      <w:lang w:val="en-GB" w:eastAsia="en-GB"/>
    </w:rPr>
  </w:style>
  <w:style w:type="paragraph" w:styleId="Index4">
    <w:name w:val="index 4"/>
    <w:basedOn w:val="Normal"/>
    <w:next w:val="Normal"/>
    <w:autoRedefine/>
    <w:uiPriority w:val="17"/>
    <w:semiHidden/>
    <w:pPr>
      <w:spacing w:line="264" w:lineRule="auto"/>
      <w:ind w:left="840" w:hanging="210"/>
      <w:jc w:val="both"/>
    </w:pPr>
    <w:rPr>
      <w:rFonts w:ascii="Arial" w:eastAsia="Arial Unicode MS" w:hAnsi="Arial"/>
      <w:sz w:val="21"/>
      <w:szCs w:val="21"/>
      <w:lang w:val="en-GB" w:eastAsia="en-GB"/>
    </w:rPr>
  </w:style>
  <w:style w:type="paragraph" w:styleId="Index5">
    <w:name w:val="index 5"/>
    <w:basedOn w:val="Normal"/>
    <w:next w:val="Normal"/>
    <w:autoRedefine/>
    <w:uiPriority w:val="17"/>
    <w:semiHidden/>
    <w:pPr>
      <w:spacing w:line="264" w:lineRule="auto"/>
      <w:ind w:left="1050" w:hanging="210"/>
      <w:jc w:val="both"/>
    </w:pPr>
    <w:rPr>
      <w:rFonts w:ascii="Arial" w:eastAsia="Arial Unicode MS" w:hAnsi="Arial"/>
      <w:sz w:val="21"/>
      <w:szCs w:val="21"/>
      <w:lang w:val="en-GB" w:eastAsia="en-GB"/>
    </w:rPr>
  </w:style>
  <w:style w:type="paragraph" w:styleId="Index6">
    <w:name w:val="index 6"/>
    <w:basedOn w:val="Normal"/>
    <w:next w:val="Normal"/>
    <w:autoRedefine/>
    <w:uiPriority w:val="17"/>
    <w:semiHidden/>
    <w:pPr>
      <w:spacing w:line="264" w:lineRule="auto"/>
      <w:ind w:left="1260" w:hanging="210"/>
      <w:jc w:val="both"/>
    </w:pPr>
    <w:rPr>
      <w:rFonts w:ascii="Arial" w:eastAsia="Arial Unicode MS" w:hAnsi="Arial"/>
      <w:sz w:val="21"/>
      <w:szCs w:val="21"/>
      <w:lang w:val="en-GB" w:eastAsia="en-GB"/>
    </w:rPr>
  </w:style>
  <w:style w:type="paragraph" w:styleId="Index7">
    <w:name w:val="index 7"/>
    <w:basedOn w:val="Normal"/>
    <w:next w:val="Normal"/>
    <w:autoRedefine/>
    <w:uiPriority w:val="17"/>
    <w:semiHidden/>
    <w:pPr>
      <w:spacing w:line="264" w:lineRule="auto"/>
      <w:ind w:left="1470" w:hanging="210"/>
      <w:jc w:val="both"/>
    </w:pPr>
    <w:rPr>
      <w:rFonts w:ascii="Arial" w:eastAsia="Arial Unicode MS" w:hAnsi="Arial"/>
      <w:sz w:val="21"/>
      <w:szCs w:val="21"/>
      <w:lang w:val="en-GB" w:eastAsia="en-GB"/>
    </w:rPr>
  </w:style>
  <w:style w:type="paragraph" w:styleId="Index8">
    <w:name w:val="index 8"/>
    <w:basedOn w:val="Normal"/>
    <w:next w:val="Normal"/>
    <w:autoRedefine/>
    <w:uiPriority w:val="17"/>
    <w:semiHidden/>
    <w:pPr>
      <w:spacing w:line="264" w:lineRule="auto"/>
      <w:ind w:left="1680" w:hanging="210"/>
      <w:jc w:val="both"/>
    </w:pPr>
    <w:rPr>
      <w:rFonts w:ascii="Arial" w:eastAsia="Arial Unicode MS" w:hAnsi="Arial"/>
      <w:sz w:val="21"/>
      <w:szCs w:val="21"/>
      <w:lang w:val="en-GB" w:eastAsia="en-GB"/>
    </w:rPr>
  </w:style>
  <w:style w:type="paragraph" w:styleId="Index9">
    <w:name w:val="index 9"/>
    <w:basedOn w:val="Normal"/>
    <w:next w:val="Normal"/>
    <w:autoRedefine/>
    <w:uiPriority w:val="17"/>
    <w:semiHidden/>
    <w:pPr>
      <w:spacing w:line="264" w:lineRule="auto"/>
      <w:ind w:left="1890" w:hanging="210"/>
      <w:jc w:val="both"/>
    </w:pPr>
    <w:rPr>
      <w:rFonts w:ascii="Arial" w:eastAsia="Arial Unicode MS" w:hAnsi="Arial"/>
      <w:sz w:val="21"/>
      <w:szCs w:val="21"/>
      <w:lang w:val="en-GB" w:eastAsia="en-GB"/>
    </w:rPr>
  </w:style>
  <w:style w:type="paragraph" w:styleId="IndexHeading">
    <w:name w:val="index heading"/>
    <w:basedOn w:val="Normal"/>
    <w:next w:val="Index1"/>
    <w:uiPriority w:val="17"/>
    <w:semiHidden/>
    <w:pPr>
      <w:spacing w:line="264" w:lineRule="auto"/>
      <w:jc w:val="both"/>
    </w:pPr>
    <w:rPr>
      <w:rFonts w:ascii="Arial" w:eastAsia="Arial Unicode MS" w:hAnsi="Arial"/>
      <w:b/>
      <w:sz w:val="21"/>
      <w:szCs w:val="21"/>
      <w:lang w:val="en-GB" w:eastAsia="en-G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paragraph" w:styleId="NormalIndent">
    <w:name w:val="Normal Indent"/>
    <w:basedOn w:val="Normal"/>
    <w:uiPriority w:val="29"/>
    <w:pPr>
      <w:spacing w:line="264" w:lineRule="auto"/>
      <w:ind w:left="720"/>
      <w:jc w:val="both"/>
    </w:pPr>
    <w:rPr>
      <w:rFonts w:ascii="Arial" w:eastAsia="Arial Unicode MS" w:hAnsi="Arial"/>
      <w:sz w:val="21"/>
      <w:szCs w:val="21"/>
      <w:lang w:val="en-GB" w:eastAsia="en-GB"/>
    </w:rPr>
  </w:style>
  <w:style w:type="paragraph" w:styleId="NoteHeading">
    <w:name w:val="Note Heading"/>
    <w:basedOn w:val="Normal"/>
    <w:next w:val="Normal"/>
    <w:uiPriority w:val="17"/>
    <w:semiHidden/>
    <w:pPr>
      <w:spacing w:line="264" w:lineRule="auto"/>
      <w:jc w:val="both"/>
    </w:pPr>
    <w:rPr>
      <w:rFonts w:ascii="Arial" w:eastAsia="Arial Unicode MS" w:hAnsi="Arial"/>
      <w:sz w:val="21"/>
      <w:szCs w:val="21"/>
      <w:lang w:val="en-GB" w:eastAsia="en-GB"/>
    </w:rPr>
  </w:style>
  <w:style w:type="character" w:styleId="PageNumber">
    <w:name w:val="page number"/>
    <w:basedOn w:val="DefaultParagraphFont"/>
    <w:uiPriority w:val="17"/>
    <w:semiHidden/>
  </w:style>
  <w:style w:type="paragraph" w:styleId="PlainText">
    <w:name w:val="Plain Text"/>
    <w:basedOn w:val="Normal"/>
    <w:uiPriority w:val="17"/>
    <w:semiHidden/>
    <w:pPr>
      <w:spacing w:line="264" w:lineRule="auto"/>
      <w:jc w:val="both"/>
    </w:pPr>
    <w:rPr>
      <w:rFonts w:ascii="Courier New" w:eastAsia="Arial Unicode MS" w:hAnsi="Courier New"/>
      <w:sz w:val="20"/>
      <w:szCs w:val="21"/>
      <w:lang w:val="en-GB" w:eastAsia="en-GB"/>
    </w:rPr>
  </w:style>
  <w:style w:type="paragraph" w:styleId="Salutation">
    <w:name w:val="Salutation"/>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Signature">
    <w:name w:val="Signature"/>
    <w:basedOn w:val="Normal"/>
    <w:uiPriority w:val="17"/>
    <w:semiHidden/>
    <w:pPr>
      <w:spacing w:line="264" w:lineRule="auto"/>
      <w:ind w:left="4252"/>
      <w:jc w:val="both"/>
    </w:pPr>
    <w:rPr>
      <w:rFonts w:ascii="Arial" w:eastAsia="Arial Unicode MS" w:hAnsi="Arial"/>
      <w:sz w:val="21"/>
      <w:szCs w:val="21"/>
      <w:lang w:val="en-GB" w:eastAsia="en-GB"/>
    </w:r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spacing w:line="264" w:lineRule="auto"/>
      <w:ind w:left="210" w:hanging="210"/>
      <w:jc w:val="both"/>
    </w:pPr>
    <w:rPr>
      <w:rFonts w:ascii="Arial" w:eastAsia="Arial Unicode MS" w:hAnsi="Arial"/>
      <w:sz w:val="21"/>
      <w:szCs w:val="21"/>
      <w:lang w:val="en-GB" w:eastAsia="en-GB"/>
    </w:rPr>
  </w:style>
  <w:style w:type="paragraph" w:styleId="TableofFigures">
    <w:name w:val="table of figures"/>
    <w:basedOn w:val="Normal"/>
    <w:next w:val="Normal"/>
    <w:uiPriority w:val="17"/>
    <w:semiHidden/>
    <w:pPr>
      <w:spacing w:line="264" w:lineRule="auto"/>
      <w:ind w:left="420" w:hanging="420"/>
      <w:jc w:val="both"/>
    </w:pPr>
    <w:rPr>
      <w:rFonts w:ascii="Arial" w:eastAsia="Arial Unicode MS" w:hAnsi="Arial"/>
      <w:sz w:val="21"/>
      <w:szCs w:val="21"/>
      <w:lang w:val="en-GB" w:eastAsia="en-GB"/>
    </w:rPr>
  </w:style>
  <w:style w:type="paragraph" w:styleId="TOAHeading">
    <w:name w:val="toa heading"/>
    <w:basedOn w:val="Normal"/>
    <w:next w:val="Normal"/>
    <w:uiPriority w:val="49"/>
    <w:semiHidden/>
    <w:pPr>
      <w:spacing w:before="120" w:line="264" w:lineRule="auto"/>
      <w:jc w:val="both"/>
    </w:pPr>
    <w:rPr>
      <w:rFonts w:ascii="Arial" w:eastAsia="Arial Unicode MS" w:hAnsi="Arial"/>
      <w:b/>
      <w:sz w:val="24"/>
      <w:szCs w:val="21"/>
      <w:lang w:val="en-GB" w:eastAsia="en-GB"/>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spacing w:line="264" w:lineRule="auto"/>
      <w:ind w:left="1050"/>
      <w:jc w:val="both"/>
    </w:pPr>
    <w:rPr>
      <w:rFonts w:ascii="Arial" w:eastAsia="Arial Unicode MS" w:hAnsi="Arial"/>
      <w:sz w:val="21"/>
      <w:szCs w:val="21"/>
      <w:lang w:val="en-GB" w:eastAsia="en-GB"/>
    </w:rPr>
  </w:style>
  <w:style w:type="paragraph" w:styleId="TOC7">
    <w:name w:val="toc 7"/>
    <w:basedOn w:val="Normal"/>
    <w:next w:val="Normal"/>
    <w:uiPriority w:val="49"/>
    <w:semiHidden/>
    <w:pPr>
      <w:spacing w:line="264" w:lineRule="auto"/>
      <w:ind w:left="1260"/>
      <w:jc w:val="both"/>
    </w:pPr>
    <w:rPr>
      <w:rFonts w:ascii="Arial" w:eastAsia="Arial Unicode MS" w:hAnsi="Arial"/>
      <w:sz w:val="21"/>
      <w:szCs w:val="21"/>
      <w:lang w:val="en-GB" w:eastAsia="en-GB"/>
    </w:rPr>
  </w:style>
  <w:style w:type="paragraph" w:styleId="TOC8">
    <w:name w:val="toc 8"/>
    <w:basedOn w:val="Normal"/>
    <w:next w:val="Normal"/>
    <w:uiPriority w:val="49"/>
    <w:semiHidden/>
    <w:pPr>
      <w:spacing w:line="264" w:lineRule="auto"/>
      <w:ind w:left="1470"/>
      <w:jc w:val="both"/>
    </w:pPr>
    <w:rPr>
      <w:rFonts w:ascii="Arial" w:eastAsia="Arial Unicode MS" w:hAnsi="Arial"/>
      <w:sz w:val="21"/>
      <w:szCs w:val="21"/>
      <w:lang w:val="en-GB" w:eastAsia="en-GB"/>
    </w:rPr>
  </w:style>
  <w:style w:type="paragraph" w:styleId="TOC9">
    <w:name w:val="toc 9"/>
    <w:basedOn w:val="Normal"/>
    <w:next w:val="Normal"/>
    <w:uiPriority w:val="49"/>
    <w:semiHidden/>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spacing w:line="264" w:lineRule="auto"/>
      <w:jc w:val="center"/>
    </w:pPr>
    <w:rPr>
      <w:rFonts w:ascii="Arial" w:eastAsia="Arial Unicode MS" w:hAnsi="Arial"/>
      <w:sz w:val="16"/>
      <w:szCs w:val="16"/>
      <w:lang w:val="en-GB"/>
    </w:rPr>
  </w:style>
  <w:style w:type="paragraph" w:customStyle="1" w:styleId="NormalCentred">
    <w:name w:val="Normal Centred"/>
    <w:basedOn w:val="Normal"/>
    <w:uiPriority w:val="9"/>
    <w:rsid w:val="00671861"/>
    <w:pPr>
      <w:spacing w:line="264" w:lineRule="auto"/>
      <w:jc w:val="center"/>
    </w:pPr>
    <w:rPr>
      <w:rFonts w:ascii="Arial" w:eastAsia="Arial Unicode MS" w:hAnsi="Arial"/>
      <w:sz w:val="21"/>
      <w:lang w:val="en-GB"/>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jc w:val="both"/>
    </w:pPr>
    <w:rPr>
      <w:rFonts w:ascii="Tahoma" w:eastAsia="Arial Unicode MS" w:hAnsi="Tahoma" w:cs="Tahoma"/>
      <w:sz w:val="16"/>
      <w:szCs w:val="16"/>
      <w:lang w:val="en-GB" w:eastAsia="en-GB"/>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pPr>
      <w:spacing w:line="264" w:lineRule="auto"/>
      <w:jc w:val="both"/>
    </w:pPr>
    <w:rPr>
      <w:rFonts w:ascii="Arial" w:eastAsia="Arial Unicode MS" w:hAnsi="Arial"/>
      <w:sz w:val="21"/>
      <w:lang w:val="en-GB" w:eastAsia="en-GB"/>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pPr>
      <w:spacing w:line="264" w:lineRule="auto"/>
      <w:jc w:val="both"/>
    </w:pPr>
    <w:rPr>
      <w:rFonts w:ascii="Arial" w:eastAsia="Arial Unicode MS" w:hAnsi="Arial"/>
      <w:i/>
      <w:iCs/>
      <w:color w:val="4D5357" w:themeColor="text1"/>
      <w:sz w:val="21"/>
      <w:szCs w:val="21"/>
      <w:lang w:val="en-GB" w:eastAsia="en-GB"/>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spacing w:line="264" w:lineRule="auto"/>
      <w:ind w:left="720"/>
      <w:contextualSpacing/>
      <w:jc w:val="both"/>
    </w:pPr>
    <w:rPr>
      <w:rFonts w:ascii="Arial" w:eastAsia="Arial Unicode MS" w:hAnsi="Arial"/>
      <w:sz w:val="21"/>
      <w:szCs w:val="21"/>
      <w:lang w:val="en-GB" w:eastAsia="en-GB"/>
    </w:r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Normal"/>
    <w:uiPriority w:val="17"/>
    <w:rsid w:val="00D67411"/>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customStyle="1" w:styleId="UnresolvedMention1">
    <w:name w:val="Unresolved Mention1"/>
    <w:basedOn w:val="DefaultParagraphFont"/>
    <w:uiPriority w:val="99"/>
    <w:semiHidden/>
    <w:unhideWhenUsed/>
    <w:rsid w:val="005B636B"/>
    <w:rPr>
      <w:color w:val="605E5C"/>
      <w:shd w:val="clear" w:color="auto" w:fill="E1DFDD"/>
    </w:rPr>
  </w:style>
  <w:style w:type="character" w:customStyle="1" w:styleId="UnresolvedMention2">
    <w:name w:val="Unresolved Mention2"/>
    <w:basedOn w:val="DefaultParagraphFont"/>
    <w:rsid w:val="005867F1"/>
    <w:rPr>
      <w:color w:val="605E5C"/>
      <w:shd w:val="clear" w:color="auto" w:fill="E1DFDD"/>
    </w:rPr>
  </w:style>
  <w:style w:type="character" w:styleId="UnresolvedMention">
    <w:name w:val="Unresolved Mention"/>
    <w:basedOn w:val="DefaultParagraphFont"/>
    <w:rsid w:val="0071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0</TotalTime>
  <Pages>2</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Jigar Jain</cp:lastModifiedBy>
  <cp:revision>4</cp:revision>
  <dcterms:created xsi:type="dcterms:W3CDTF">2024-12-18T09:09:00Z</dcterms:created>
  <dcterms:modified xsi:type="dcterms:W3CDTF">2024-12-23T10:30:00Z</dcterms:modified>
</cp:coreProperties>
</file>